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0A8D" w14:textId="4A8F844B" w:rsidR="002D5259" w:rsidRPr="00EA7ECD" w:rsidRDefault="002D5259" w:rsidP="002D5259">
      <w:pPr>
        <w:rPr>
          <w:rFonts w:eastAsia="Calibri"/>
          <w:b/>
          <w:color w:val="000000"/>
          <w:sz w:val="20"/>
          <w:szCs w:val="22"/>
          <w:shd w:val="clear" w:color="auto" w:fill="FFFFFF"/>
        </w:rPr>
      </w:pPr>
      <w:bookmarkStart w:id="0" w:name="_Hlk77240862"/>
      <w:r w:rsidRPr="00EA7ECD">
        <w:rPr>
          <w:rFonts w:eastAsia="Calibri"/>
          <w:b/>
          <w:color w:val="000000"/>
          <w:sz w:val="20"/>
          <w:szCs w:val="22"/>
          <w:shd w:val="clear" w:color="auto" w:fill="FFFFFF"/>
        </w:rPr>
        <w:t>Accreditation</w:t>
      </w:r>
      <w:r w:rsidR="00EA7ECD" w:rsidRPr="00EA7ECD">
        <w:rPr>
          <w:rFonts w:eastAsia="Calibri"/>
          <w:b/>
          <w:color w:val="000000"/>
          <w:sz w:val="20"/>
          <w:szCs w:val="22"/>
          <w:shd w:val="clear" w:color="auto" w:fill="FFFFFF"/>
        </w:rPr>
        <w:t xml:space="preserve"> Statement</w:t>
      </w:r>
      <w:r w:rsidRPr="00EA7ECD">
        <w:rPr>
          <w:rFonts w:eastAsia="Calibri"/>
          <w:b/>
          <w:color w:val="000000"/>
          <w:sz w:val="20"/>
          <w:szCs w:val="22"/>
          <w:shd w:val="clear" w:color="auto" w:fill="FFFFFF"/>
        </w:rPr>
        <w:t xml:space="preserve">: </w:t>
      </w:r>
    </w:p>
    <w:bookmarkEnd w:id="0"/>
    <w:p w14:paraId="37D58905" w14:textId="042555B1" w:rsidR="002D5259" w:rsidRPr="00CD35E4" w:rsidRDefault="00EA7ECD" w:rsidP="002D5259">
      <w:pPr>
        <w:shd w:val="clear" w:color="auto" w:fill="FFFFFF"/>
        <w:jc w:val="both"/>
        <w:rPr>
          <w:rFonts w:asciiTheme="minorHAnsi" w:hAnsiTheme="minorHAnsi" w:cstheme="minorHAnsi"/>
          <w:sz w:val="20"/>
          <w:szCs w:val="22"/>
        </w:rPr>
      </w:pPr>
      <w:r>
        <w:rPr>
          <w:noProof/>
        </w:rPr>
        <mc:AlternateContent>
          <mc:Choice Requires="wps">
            <w:drawing>
              <wp:anchor distT="45720" distB="45720" distL="114300" distR="114300" simplePos="0" relativeHeight="251659264" behindDoc="0" locked="0" layoutInCell="1" allowOverlap="1" wp14:anchorId="38269493" wp14:editId="5AB27C5B">
                <wp:simplePos x="0" y="0"/>
                <wp:positionH relativeFrom="column">
                  <wp:posOffset>1403985</wp:posOffset>
                </wp:positionH>
                <wp:positionV relativeFrom="paragraph">
                  <wp:posOffset>67310</wp:posOffset>
                </wp:positionV>
                <wp:extent cx="50133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1404620"/>
                        </a:xfrm>
                        <a:prstGeom prst="rect">
                          <a:avLst/>
                        </a:prstGeom>
                        <a:solidFill>
                          <a:srgbClr val="FFFFFF"/>
                        </a:solidFill>
                        <a:ln w="9525">
                          <a:noFill/>
                          <a:miter lim="800000"/>
                          <a:headEnd/>
                          <a:tailEnd/>
                        </a:ln>
                      </wps:spPr>
                      <wps:txbx>
                        <w:txbxContent>
                          <w:p w14:paraId="1BE8E219" w14:textId="2962C09F" w:rsidR="00EA7ECD" w:rsidRPr="00735BD2" w:rsidRDefault="00EA7ECD" w:rsidP="00EA7ECD">
                            <w:pPr>
                              <w:rPr>
                                <w:sz w:val="18"/>
                                <w:szCs w:val="18"/>
                              </w:rPr>
                            </w:pPr>
                            <w:r w:rsidRPr="00735BD2">
                              <w:rPr>
                                <w:sz w:val="18"/>
                                <w:szCs w:val="18"/>
                              </w:rPr>
                              <w:t xml:space="preserve">In support of improving patient care, this activity has been planned and implemented by Texas Tech University Health Sciences Center, Texas Tech University System Health Policy &amp; Public Health Think Tank, and AHEC of the Plains. Texas Tech University Health Sciences Center is joint accredited by the Accreditation Council for Continuing Medical Education (ACCME), the Accreditation Council for Pharmacy Education (ACPE), and the American Nurses Credentialing Center (ANCC), to provide continuing education for the healthcare team.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69493" id="_x0000_t202" coordsize="21600,21600" o:spt="202" path="m,l,21600r21600,l21600,xe">
                <v:stroke joinstyle="miter"/>
                <v:path gradientshapeok="t" o:connecttype="rect"/>
              </v:shapetype>
              <v:shape id="Text Box 2" o:spid="_x0000_s1026" type="#_x0000_t202" style="position:absolute;left:0;text-align:left;margin-left:110.55pt;margin-top:5.3pt;width:39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" stroked="f">
                <v:textbox style="mso-fit-shape-to-text:t">
                  <w:txbxContent>
                    <w:p w14:paraId="1BE8E219" w14:textId="2962C09F" w:rsidR="00EA7ECD" w:rsidRPr="00735BD2" w:rsidRDefault="00EA7ECD" w:rsidP="00EA7ECD">
                      <w:pPr>
                        <w:rPr>
                          <w:sz w:val="18"/>
                          <w:szCs w:val="18"/>
                        </w:rPr>
                      </w:pPr>
                      <w:r w:rsidRPr="00735BD2">
                        <w:rPr>
                          <w:sz w:val="18"/>
                          <w:szCs w:val="18"/>
                        </w:rPr>
                        <w:t xml:space="preserve">In support of improving patient care, this activity has been planned and implemented by Texas Tech University Health Sciences Center, Texas Tech University System Health Policy &amp; Public Health Think Tank, and AHEC of the Plains. Texas Tech University Health Sciences Center is joint accredited by the Accreditation Council for Continuing Medical Education (ACCME), the Accreditation Council for Pharmacy Education (ACPE), and the American Nurses Credentialing Center (ANCC), to provide continuing education for the healthcare team. </w:t>
                      </w:r>
                    </w:p>
                  </w:txbxContent>
                </v:textbox>
                <w10:wrap type="square"/>
              </v:shape>
            </w:pict>
          </mc:Fallback>
        </mc:AlternateContent>
      </w:r>
      <w:r>
        <w:rPr>
          <w:rFonts w:asciiTheme="minorHAnsi" w:hAnsiTheme="minorHAnsi" w:cstheme="minorHAnsi"/>
          <w:noProof/>
          <w:sz w:val="20"/>
          <w:szCs w:val="22"/>
        </w:rPr>
        <w:drawing>
          <wp:inline distT="0" distB="0" distL="0" distR="0" wp14:anchorId="5164BDE2" wp14:editId="753A0028">
            <wp:extent cx="1195070" cy="817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817245"/>
                    </a:xfrm>
                    <a:prstGeom prst="rect">
                      <a:avLst/>
                    </a:prstGeom>
                    <a:noFill/>
                  </pic:spPr>
                </pic:pic>
              </a:graphicData>
            </a:graphic>
          </wp:inline>
        </w:drawing>
      </w:r>
    </w:p>
    <w:p w14:paraId="0A96965C" w14:textId="77777777" w:rsidR="00EA7ECD" w:rsidRDefault="00EA7ECD" w:rsidP="002D5259">
      <w:pPr>
        <w:shd w:val="clear" w:color="auto" w:fill="FFFFFF"/>
        <w:jc w:val="both"/>
        <w:rPr>
          <w:rFonts w:asciiTheme="minorHAnsi" w:hAnsiTheme="minorHAnsi" w:cstheme="minorHAnsi"/>
          <w:b/>
          <w:sz w:val="20"/>
          <w:szCs w:val="22"/>
        </w:rPr>
      </w:pPr>
    </w:p>
    <w:p w14:paraId="4AD6A837" w14:textId="77777777" w:rsidR="00EA7ECD" w:rsidRDefault="00EA7ECD" w:rsidP="002D5259">
      <w:pPr>
        <w:shd w:val="clear" w:color="auto" w:fill="FFFFFF"/>
        <w:jc w:val="both"/>
        <w:rPr>
          <w:rFonts w:asciiTheme="minorHAnsi" w:hAnsiTheme="minorHAnsi" w:cstheme="minorHAnsi"/>
          <w:b/>
          <w:sz w:val="20"/>
          <w:szCs w:val="22"/>
        </w:rPr>
      </w:pPr>
    </w:p>
    <w:p w14:paraId="15F661A8" w14:textId="21C4FE95" w:rsidR="002D5259" w:rsidRPr="00EA7ECD" w:rsidRDefault="002D5259" w:rsidP="002D5259">
      <w:pPr>
        <w:shd w:val="clear" w:color="auto" w:fill="FFFFFF"/>
        <w:jc w:val="both"/>
        <w:rPr>
          <w:b/>
        </w:rPr>
      </w:pPr>
      <w:r w:rsidRPr="00EA7ECD">
        <w:rPr>
          <w:b/>
        </w:rPr>
        <w:t>Credit Designation</w:t>
      </w:r>
      <w:r w:rsidR="00EA7ECD" w:rsidRPr="00EA7ECD">
        <w:rPr>
          <w:b/>
        </w:rPr>
        <w:t xml:space="preserve"> Statements</w:t>
      </w:r>
      <w:r w:rsidRPr="00EA7ECD">
        <w:rPr>
          <w:b/>
        </w:rPr>
        <w:t>:</w:t>
      </w:r>
    </w:p>
    <w:p w14:paraId="2973AC82" w14:textId="47339FA1" w:rsidR="00735BD2" w:rsidRDefault="00735BD2" w:rsidP="00615972">
      <w:pPr>
        <w:shd w:val="clear" w:color="auto" w:fill="FFFFFF"/>
        <w:spacing w:before="120"/>
        <w:jc w:val="both"/>
        <w:rPr>
          <w:b/>
        </w:rPr>
      </w:pPr>
      <w:r w:rsidRPr="00735BD2">
        <w:rPr>
          <w:b/>
          <w:noProof/>
        </w:rPr>
        <mc:AlternateContent>
          <mc:Choice Requires="wps">
            <w:drawing>
              <wp:anchor distT="45720" distB="45720" distL="114300" distR="114300" simplePos="0" relativeHeight="251661312" behindDoc="0" locked="0" layoutInCell="1" allowOverlap="1" wp14:anchorId="227FABDF" wp14:editId="1BCEF893">
                <wp:simplePos x="0" y="0"/>
                <wp:positionH relativeFrom="margin">
                  <wp:align>right</wp:align>
                </wp:positionH>
                <wp:positionV relativeFrom="paragraph">
                  <wp:posOffset>186914</wp:posOffset>
                </wp:positionV>
                <wp:extent cx="5560695" cy="54038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540482"/>
                        </a:xfrm>
                        <a:prstGeom prst="rect">
                          <a:avLst/>
                        </a:prstGeom>
                        <a:solidFill>
                          <a:srgbClr val="FFFFFF"/>
                        </a:solidFill>
                        <a:ln w="9525">
                          <a:noFill/>
                          <a:miter lim="800000"/>
                          <a:headEnd/>
                          <a:tailEnd/>
                        </a:ln>
                      </wps:spPr>
                      <wps:txbx>
                        <w:txbxContent>
                          <w:p w14:paraId="3B7EAF33" w14:textId="328FBEF3" w:rsidR="00735BD2" w:rsidRPr="00735BD2" w:rsidRDefault="00735BD2" w:rsidP="00735BD2">
                            <w:pPr>
                              <w:rPr>
                                <w:b/>
                                <w:sz w:val="18"/>
                              </w:rPr>
                            </w:pPr>
                            <w:r w:rsidRPr="00735BD2">
                              <w:rPr>
                                <w:b/>
                                <w:sz w:val="18"/>
                              </w:rPr>
                              <w:t>“This activity was planned by and for the healthcare team, and learners will receive 6 Interprofessional Continuing Education (IPCE) credits for learning and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FABDF" id="_x0000_s1027" type="#_x0000_t202" style="position:absolute;left:0;text-align:left;margin-left:386.65pt;margin-top:14.7pt;width:437.85pt;height:4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" stroked="f">
                <v:textbox>
                  <w:txbxContent>
                    <w:p w14:paraId="3B7EAF33" w14:textId="328FBEF3" w:rsidR="00735BD2" w:rsidRPr="00735BD2" w:rsidRDefault="00735BD2" w:rsidP="00735BD2">
                      <w:pPr>
                        <w:rPr>
                          <w:b/>
                          <w:sz w:val="18"/>
                        </w:rPr>
                      </w:pPr>
                      <w:r w:rsidRPr="00735BD2">
                        <w:rPr>
                          <w:b/>
                          <w:sz w:val="18"/>
                        </w:rPr>
                        <w:t>“This activity was planned by and for the healthcare team, and learners will receive 6 Interprofessional Continuing Education (IPCE) credits for learning and change.”</w:t>
                      </w:r>
                    </w:p>
                  </w:txbxContent>
                </v:textbox>
                <w10:wrap type="square" anchorx="margin"/>
              </v:shape>
            </w:pict>
          </mc:Fallback>
        </mc:AlternateContent>
      </w:r>
      <w:r>
        <w:rPr>
          <w:b/>
          <w:noProof/>
        </w:rPr>
        <w:drawing>
          <wp:inline distT="0" distB="0" distL="0" distR="0" wp14:anchorId="41976E75" wp14:editId="35D2898A">
            <wp:extent cx="1161185" cy="829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CE_Credit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456" cy="875326"/>
                    </a:xfrm>
                    <a:prstGeom prst="rect">
                      <a:avLst/>
                    </a:prstGeom>
                  </pic:spPr>
                </pic:pic>
              </a:graphicData>
            </a:graphic>
          </wp:inline>
        </w:drawing>
      </w:r>
    </w:p>
    <w:p w14:paraId="280D1F88" w14:textId="55ADC573" w:rsidR="00615972" w:rsidRPr="00EA7ECD" w:rsidRDefault="00615972" w:rsidP="00615972">
      <w:pPr>
        <w:shd w:val="clear" w:color="auto" w:fill="FFFFFF"/>
        <w:spacing w:before="120"/>
        <w:jc w:val="both"/>
        <w:rPr>
          <w:b/>
        </w:rPr>
      </w:pPr>
      <w:r w:rsidRPr="00EA7ECD">
        <w:rPr>
          <w:b/>
        </w:rPr>
        <w:t>Physician</w:t>
      </w:r>
    </w:p>
    <w:p w14:paraId="0A1158D7" w14:textId="704A40F4" w:rsidR="00417C96" w:rsidRPr="00EA7ECD" w:rsidRDefault="002D5259" w:rsidP="0085695D">
      <w:pPr>
        <w:shd w:val="clear" w:color="auto" w:fill="FFFFFF"/>
        <w:jc w:val="both"/>
      </w:pPr>
      <w:r w:rsidRPr="00EA7ECD">
        <w:t xml:space="preserve">Texas Tech University Health Sciences Center designates this live activity for a maximum of </w:t>
      </w:r>
      <w:r w:rsidR="00EA7ECD" w:rsidRPr="00EA7ECD">
        <w:t>6</w:t>
      </w:r>
      <w:r w:rsidRPr="00EA7ECD">
        <w:rPr>
          <w:b/>
          <w:bCs/>
        </w:rPr>
        <w:t xml:space="preserve"> </w:t>
      </w:r>
      <w:r w:rsidRPr="00EA7ECD">
        <w:rPr>
          <w:i/>
          <w:iCs/>
        </w:rPr>
        <w:t>AMA PRA Category 1 Credits</w:t>
      </w:r>
      <w:r w:rsidRPr="00EA7ECD">
        <w:rPr>
          <w:i/>
          <w:iCs/>
          <w:vertAlign w:val="superscript"/>
        </w:rPr>
        <w:t>TM</w:t>
      </w:r>
      <w:r w:rsidRPr="00EA7ECD">
        <w:t>. Physicians should claim only the credit commensurate with the extent of their participation in the activity.</w:t>
      </w:r>
    </w:p>
    <w:p w14:paraId="2134148A" w14:textId="77777777" w:rsidR="008231D8" w:rsidRPr="00EA7ECD" w:rsidRDefault="008231D8" w:rsidP="0085695D">
      <w:pPr>
        <w:shd w:val="clear" w:color="auto" w:fill="FFFFFF"/>
        <w:jc w:val="both"/>
      </w:pPr>
    </w:p>
    <w:p w14:paraId="3F12C563" w14:textId="105E2798" w:rsidR="0085695D" w:rsidRPr="00EA7ECD" w:rsidRDefault="008231D8" w:rsidP="0085695D">
      <w:pPr>
        <w:shd w:val="clear" w:color="auto" w:fill="FFFFFF"/>
        <w:jc w:val="both"/>
      </w:pPr>
      <w:r w:rsidRPr="00EA7ECD">
        <w:t xml:space="preserve">The presentation, </w:t>
      </w:r>
      <w:r w:rsidR="00EA7ECD" w:rsidRPr="00EA7ECD">
        <w:t>“</w:t>
      </w:r>
      <w:r w:rsidR="00735BD2">
        <w:t>Rural Health Disparities: Unresolvable</w:t>
      </w:r>
      <w:r w:rsidR="00114B44">
        <w:t>?</w:t>
      </w:r>
      <w:r w:rsidR="00EA7ECD" w:rsidRPr="00EA7ECD">
        <w:t>”</w:t>
      </w:r>
      <w:r w:rsidRPr="00EA7ECD">
        <w:t xml:space="preserve"> has been designated by Texas Tech University Health Sciences Center for </w:t>
      </w:r>
      <w:r w:rsidRPr="00EA7ECD">
        <w:rPr>
          <w:b/>
          <w:u w:val="single"/>
        </w:rPr>
        <w:t>1</w:t>
      </w:r>
      <w:r w:rsidRPr="00EA7ECD">
        <w:t xml:space="preserve"> credit hour</w:t>
      </w:r>
      <w:r w:rsidR="00EA7ECD" w:rsidRPr="00EA7ECD">
        <w:t xml:space="preserve"> </w:t>
      </w:r>
      <w:r w:rsidRPr="00EA7ECD">
        <w:t xml:space="preserve">of education in medical ethics </w:t>
      </w:r>
      <w:r w:rsidR="00EA7ECD" w:rsidRPr="00EA7ECD">
        <w:t>and/or</w:t>
      </w:r>
      <w:r w:rsidRPr="00EA7ECD">
        <w:t xml:space="preserve"> professional responsibility. </w:t>
      </w:r>
    </w:p>
    <w:p w14:paraId="7E9ABDA5" w14:textId="77777777" w:rsidR="00735BD2" w:rsidRDefault="00735BD2" w:rsidP="00735BD2">
      <w:pPr>
        <w:pStyle w:val="Heading1"/>
        <w:jc w:val="both"/>
        <w:rPr>
          <w:rFonts w:ascii="Times New Roman" w:hAnsi="Times New Roman" w:cs="Times New Roman"/>
          <w:color w:val="auto"/>
          <w:sz w:val="24"/>
          <w:szCs w:val="24"/>
        </w:rPr>
      </w:pPr>
      <w:r>
        <w:rPr>
          <w:rFonts w:ascii="Times New Roman" w:hAnsi="Times New Roman" w:cs="Times New Roman"/>
          <w:color w:val="auto"/>
          <w:sz w:val="24"/>
          <w:szCs w:val="24"/>
        </w:rPr>
        <w:t>Disclosure &amp; Mitigation of Relevant Financial Relationships:</w:t>
      </w:r>
    </w:p>
    <w:p w14:paraId="3193833F" w14:textId="12317076" w:rsidR="00E44FBC" w:rsidRPr="00735BD2" w:rsidRDefault="00E44FBC" w:rsidP="00735BD2">
      <w:pPr>
        <w:pStyle w:val="Heading1"/>
        <w:jc w:val="both"/>
        <w:rPr>
          <w:rFonts w:ascii="Times New Roman" w:hAnsi="Times New Roman" w:cs="Times New Roman"/>
          <w:b w:val="0"/>
          <w:color w:val="000000"/>
          <w:sz w:val="24"/>
          <w:szCs w:val="24"/>
        </w:rPr>
      </w:pPr>
      <w:r w:rsidRPr="00735BD2">
        <w:rPr>
          <w:rFonts w:ascii="Times New Roman" w:hAnsi="Times New Roman" w:cs="Times New Roman"/>
          <w:b w:val="0"/>
          <w:color w:val="000000"/>
          <w:sz w:val="24"/>
          <w:szCs w:val="24"/>
        </w:rPr>
        <w:t xml:space="preserve">It is the policy of Texas Tech University Health Sciences Center Office of </w:t>
      </w:r>
      <w:r w:rsidR="00735BD2">
        <w:rPr>
          <w:rFonts w:ascii="Times New Roman" w:hAnsi="Times New Roman" w:cs="Times New Roman"/>
          <w:b w:val="0"/>
          <w:color w:val="000000"/>
          <w:sz w:val="24"/>
          <w:szCs w:val="24"/>
        </w:rPr>
        <w:t>Accredited Interprofessional Continuing Medical Education</w:t>
      </w:r>
      <w:r w:rsidRPr="00735BD2">
        <w:rPr>
          <w:rFonts w:ascii="Times New Roman" w:hAnsi="Times New Roman" w:cs="Times New Roman"/>
          <w:b w:val="0"/>
          <w:color w:val="000000"/>
          <w:sz w:val="24"/>
          <w:szCs w:val="24"/>
        </w:rPr>
        <w:t xml:space="preserve"> to abide by the ACCME Standards for Integrity and Independence in Accredited Continuing Education. It is the policy of TTUHSC to collect information from all planners, faculty, and others in control of educational content about all their financial relationships with ineligible companies within the past 24 months and mitigate relationships </w:t>
      </w:r>
      <w:r w:rsidR="00735BD2">
        <w:rPr>
          <w:rFonts w:ascii="Times New Roman" w:hAnsi="Times New Roman" w:cs="Times New Roman"/>
          <w:b w:val="0"/>
          <w:color w:val="000000"/>
          <w:sz w:val="24"/>
          <w:szCs w:val="24"/>
        </w:rPr>
        <w:t>before</w:t>
      </w:r>
      <w:r w:rsidRPr="00735BD2">
        <w:rPr>
          <w:rFonts w:ascii="Times New Roman" w:hAnsi="Times New Roman" w:cs="Times New Roman"/>
          <w:b w:val="0"/>
          <w:color w:val="000000"/>
          <w:sz w:val="24"/>
          <w:szCs w:val="24"/>
        </w:rPr>
        <w:t xml:space="preserve"> the individuals </w:t>
      </w:r>
      <w:r w:rsidR="00735BD2">
        <w:rPr>
          <w:rFonts w:ascii="Times New Roman" w:hAnsi="Times New Roman" w:cs="Times New Roman"/>
          <w:b w:val="0"/>
          <w:color w:val="000000"/>
          <w:sz w:val="24"/>
          <w:szCs w:val="24"/>
        </w:rPr>
        <w:t>assume</w:t>
      </w:r>
      <w:r w:rsidRPr="00735BD2">
        <w:rPr>
          <w:rFonts w:ascii="Times New Roman" w:hAnsi="Times New Roman" w:cs="Times New Roman"/>
          <w:b w:val="0"/>
          <w:color w:val="000000"/>
          <w:sz w:val="24"/>
          <w:szCs w:val="24"/>
        </w:rPr>
        <w:t xml:space="preserve"> their roles.  </w:t>
      </w:r>
    </w:p>
    <w:p w14:paraId="031ED9F0" w14:textId="77777777" w:rsidR="00E44FBC" w:rsidRPr="00735BD2" w:rsidRDefault="00E44FBC" w:rsidP="00E44FBC">
      <w:pPr>
        <w:autoSpaceDE w:val="0"/>
        <w:autoSpaceDN w:val="0"/>
        <w:adjustRightInd w:val="0"/>
        <w:ind w:left="720"/>
        <w:jc w:val="both"/>
        <w:rPr>
          <w:color w:val="000000"/>
        </w:rPr>
      </w:pPr>
    </w:p>
    <w:p w14:paraId="519B7BB1" w14:textId="6E33195F" w:rsidR="00E44FBC" w:rsidRPr="00735BD2" w:rsidRDefault="00E44FBC" w:rsidP="00513F8A">
      <w:pPr>
        <w:tabs>
          <w:tab w:val="left" w:pos="3600"/>
        </w:tabs>
        <w:jc w:val="both"/>
        <w:rPr>
          <w:color w:val="000000"/>
        </w:rPr>
      </w:pPr>
      <w:r w:rsidRPr="00EA7ECD">
        <w:rPr>
          <w:color w:val="000000"/>
        </w:rPr>
        <w:t xml:space="preserve">Ineligible companies are those whose primary business is producing, marketing, selling, re-selling, or distributing healthcare products used by or on patients.  Governmental agencies and providers of direct patient care services are not </w:t>
      </w:r>
      <w:r w:rsidRPr="00735BD2">
        <w:rPr>
          <w:color w:val="000000"/>
        </w:rPr>
        <w:t>considered to be ineligible companies.</w:t>
      </w:r>
    </w:p>
    <w:p w14:paraId="54E51549" w14:textId="77777777" w:rsidR="00E44FBC" w:rsidRPr="00735BD2" w:rsidRDefault="00E44FBC" w:rsidP="00513F8A">
      <w:pPr>
        <w:tabs>
          <w:tab w:val="left" w:pos="3600"/>
        </w:tabs>
        <w:jc w:val="both"/>
        <w:rPr>
          <w:color w:val="000000"/>
        </w:rPr>
      </w:pPr>
    </w:p>
    <w:p w14:paraId="736E7625" w14:textId="145F5DBD" w:rsidR="00162B9D" w:rsidRPr="00735BD2" w:rsidRDefault="00513F8A" w:rsidP="00513F8A">
      <w:pPr>
        <w:tabs>
          <w:tab w:val="left" w:pos="3600"/>
        </w:tabs>
        <w:jc w:val="both"/>
      </w:pPr>
      <w:r w:rsidRPr="00735BD2">
        <w:t>Disclosure of a relationship is not intended to suggest or condone bias in any presentation but is made to provide participants with information that might be of potential importance to their evaluation of a presentation.</w:t>
      </w:r>
      <w:r w:rsidR="00E44FBC" w:rsidRPr="00735BD2">
        <w:t xml:space="preserve">  </w:t>
      </w:r>
      <w:r w:rsidRPr="00735BD2">
        <w:t xml:space="preserve">TTUHSC expects that the content or format of </w:t>
      </w:r>
      <w:r w:rsidR="00E44FBC" w:rsidRPr="00735BD2">
        <w:t xml:space="preserve">accredited continuing education </w:t>
      </w:r>
      <w:r w:rsidRPr="00735BD2">
        <w:t xml:space="preserve">and related materials will promote improvements </w:t>
      </w:r>
      <w:r w:rsidR="00510DD8" w:rsidRPr="00735BD2">
        <w:t>in</w:t>
      </w:r>
      <w:r w:rsidRPr="00735BD2">
        <w:t xml:space="preserve"> </w:t>
      </w:r>
      <w:r w:rsidR="00735BD2" w:rsidRPr="00735BD2">
        <w:t xml:space="preserve">the </w:t>
      </w:r>
      <w:r w:rsidRPr="00735BD2">
        <w:t xml:space="preserve">quality </w:t>
      </w:r>
      <w:r w:rsidR="00510DD8" w:rsidRPr="00735BD2">
        <w:t>of</w:t>
      </w:r>
      <w:r w:rsidRPr="00735BD2">
        <w:t xml:space="preserve"> healthcare and not </w:t>
      </w:r>
      <w:r w:rsidR="00510DD8" w:rsidRPr="00735BD2">
        <w:t>the</w:t>
      </w:r>
      <w:r w:rsidRPr="00735BD2">
        <w:t xml:space="preserve"> specific proprietary business interest of a</w:t>
      </w:r>
      <w:r w:rsidR="00E44FBC" w:rsidRPr="00735BD2">
        <w:t>n ineligible company</w:t>
      </w:r>
      <w:r w:rsidRPr="00735BD2">
        <w:t xml:space="preserve">.  We employ several strategies to ensure the absence of commercial bias and </w:t>
      </w:r>
      <w:r w:rsidR="00E44FBC" w:rsidRPr="00735BD2">
        <w:t xml:space="preserve">mitigate relevant financial </w:t>
      </w:r>
      <w:r w:rsidR="00946148" w:rsidRPr="00735BD2">
        <w:t>relationships</w:t>
      </w:r>
      <w:r w:rsidRPr="00735BD2">
        <w:t xml:space="preserve">.  </w:t>
      </w:r>
    </w:p>
    <w:p w14:paraId="6FB76778" w14:textId="77777777" w:rsidR="00162B9D" w:rsidRPr="00735BD2" w:rsidRDefault="00162B9D" w:rsidP="00513F8A">
      <w:pPr>
        <w:tabs>
          <w:tab w:val="left" w:pos="3600"/>
        </w:tabs>
        <w:jc w:val="both"/>
      </w:pPr>
    </w:p>
    <w:p w14:paraId="245B0188" w14:textId="77777777" w:rsidR="004255A2" w:rsidRDefault="004255A2" w:rsidP="004255A2">
      <w:pPr>
        <w:jc w:val="both"/>
      </w:pPr>
      <w:bookmarkStart w:id="1" w:name="_GoBack"/>
      <w:bookmarkEnd w:id="1"/>
      <w:r>
        <w:t>None of the planners and faculty for this educational activity have relevant financial relationships to disclose with ineligible companies except for the following individuals:</w:t>
      </w:r>
    </w:p>
    <w:p w14:paraId="52569074" w14:textId="77777777" w:rsidR="004255A2" w:rsidRDefault="004255A2" w:rsidP="004255A2">
      <w:pPr>
        <w:jc w:val="both"/>
      </w:pPr>
    </w:p>
    <w:p w14:paraId="5DF08802" w14:textId="77777777" w:rsidR="004255A2" w:rsidRDefault="004255A2" w:rsidP="004255A2">
      <w:pPr>
        <w:jc w:val="both"/>
      </w:pPr>
      <w:r>
        <w:t xml:space="preserve">1.       John Griswold, MD is in the Speaker list for Medline as well as part of the advisory board for </w:t>
      </w:r>
      <w:proofErr w:type="spellStart"/>
      <w:r>
        <w:t>Exsurco</w:t>
      </w:r>
      <w:proofErr w:type="spellEnd"/>
      <w:r>
        <w:t>. These relationships were determined to be of no relevance to the activity topic.</w:t>
      </w:r>
    </w:p>
    <w:p w14:paraId="6F9E94B5" w14:textId="77777777" w:rsidR="004255A2" w:rsidRDefault="004255A2" w:rsidP="004255A2">
      <w:pPr>
        <w:jc w:val="both"/>
      </w:pPr>
    </w:p>
    <w:p w14:paraId="6A095483" w14:textId="31BBD7BE" w:rsidR="002D5259" w:rsidRPr="00735BD2" w:rsidRDefault="004255A2" w:rsidP="004255A2">
      <w:pPr>
        <w:jc w:val="both"/>
      </w:pPr>
      <w:r>
        <w:t>All of the relevant financial relationships listed for this individual have been mitigated.</w:t>
      </w:r>
    </w:p>
    <w:sectPr w:rsidR="002D5259" w:rsidRPr="00735BD2" w:rsidSect="003661AC">
      <w:headerReference w:type="default" r:id="rId10"/>
      <w:footerReference w:type="default" r:id="rId11"/>
      <w:type w:val="continuous"/>
      <w:pgSz w:w="12240" w:h="15840" w:code="1"/>
      <w:pgMar w:top="576" w:right="576" w:bottom="432" w:left="576" w:header="50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D907" w14:textId="77777777" w:rsidR="00AC48B5" w:rsidRDefault="00AC48B5">
      <w:r>
        <w:separator/>
      </w:r>
    </w:p>
  </w:endnote>
  <w:endnote w:type="continuationSeparator" w:id="0">
    <w:p w14:paraId="779D80C4" w14:textId="77777777" w:rsidR="00AC48B5" w:rsidRDefault="00AC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188B" w14:textId="77777777" w:rsidR="00E46901" w:rsidRPr="009B0519" w:rsidRDefault="00E46901" w:rsidP="009B0519">
    <w:pPr>
      <w:pStyle w:val="Footer"/>
      <w:tabs>
        <w:tab w:val="clear" w:pos="8640"/>
        <w:tab w:val="right" w:pos="10080"/>
      </w:tabs>
      <w:rPr>
        <w:rFonts w:ascii="Tw Cen MT" w:hAnsi="Tw Cen MT"/>
        <w:sz w:val="16"/>
        <w:szCs w:val="16"/>
      </w:rPr>
    </w:pPr>
    <w:r w:rsidRPr="009B0519">
      <w:rPr>
        <w:rFonts w:ascii="Tw Cen MT" w:hAnsi="Tw Cen MT"/>
        <w:sz w:val="16"/>
        <w:szCs w:val="16"/>
      </w:rPr>
      <w:tab/>
    </w:r>
    <w:r w:rsidRPr="009B0519">
      <w:rPr>
        <w:rFonts w:ascii="Tw Cen MT" w:hAnsi="Tw Cen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E45C" w14:textId="77777777" w:rsidR="00AC48B5" w:rsidRDefault="00AC48B5">
      <w:r>
        <w:separator/>
      </w:r>
    </w:p>
  </w:footnote>
  <w:footnote w:type="continuationSeparator" w:id="0">
    <w:p w14:paraId="58B460D2" w14:textId="77777777" w:rsidR="00AC48B5" w:rsidRDefault="00AC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22C1" w14:textId="785AD554" w:rsidR="00EA7ECD" w:rsidRDefault="00EA7ECD" w:rsidP="00EA7ECD">
    <w:pPr>
      <w:pStyle w:val="Header"/>
      <w:jc w:val="center"/>
    </w:pPr>
    <w:r>
      <w:rPr>
        <w:noProof/>
        <w:spacing w:val="-2"/>
      </w:rPr>
      <w:drawing>
        <wp:inline distT="0" distB="0" distL="0" distR="0" wp14:anchorId="4F1F3B52" wp14:editId="7EEF714F">
          <wp:extent cx="4636586" cy="652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HSC Primary Logo Ultrawide_Full Color Blac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10151" cy="690603"/>
                  </a:xfrm>
                  <a:prstGeom prst="rect">
                    <a:avLst/>
                  </a:prstGeom>
                </pic:spPr>
              </pic:pic>
            </a:graphicData>
          </a:graphic>
        </wp:inline>
      </w:drawing>
    </w:r>
  </w:p>
  <w:p w14:paraId="32CD182D" w14:textId="77777777" w:rsidR="00EA7ECD" w:rsidRPr="00EA7ECD" w:rsidRDefault="00EA7ECD" w:rsidP="00EA7ECD">
    <w:pPr>
      <w:pStyle w:val="Heading1"/>
      <w:jc w:val="center"/>
      <w:rPr>
        <w:rFonts w:ascii="Times New Roman" w:hAnsi="Times New Roman" w:cs="Times New Roman"/>
        <w:b w:val="0"/>
        <w:color w:val="auto"/>
        <w:spacing w:val="-2"/>
        <w:sz w:val="20"/>
        <w:szCs w:val="22"/>
      </w:rPr>
    </w:pPr>
    <w:r w:rsidRPr="00EA7ECD">
      <w:rPr>
        <w:rFonts w:ascii="Times New Roman" w:hAnsi="Times New Roman" w:cs="Times New Roman"/>
        <w:b w:val="0"/>
        <w:color w:val="auto"/>
        <w:spacing w:val="-2"/>
        <w:sz w:val="20"/>
        <w:szCs w:val="22"/>
      </w:rPr>
      <w:t>Office of Accredited Interprofessional Continuing Medical Education</w:t>
    </w:r>
  </w:p>
  <w:p w14:paraId="0F935256" w14:textId="53F05ADF" w:rsidR="00EA7ECD" w:rsidRPr="00EA7ECD" w:rsidRDefault="00EA7ECD" w:rsidP="00EA7ECD">
    <w:pPr>
      <w:pStyle w:val="Heading1"/>
      <w:jc w:val="center"/>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2</w:t>
    </w:r>
    <w:r w:rsidRPr="00EA7ECD">
      <w:rPr>
        <w:rFonts w:ascii="Times New Roman" w:hAnsi="Times New Roman" w:cs="Times New Roman"/>
        <w:color w:val="auto"/>
        <w:spacing w:val="-2"/>
        <w:sz w:val="22"/>
        <w:szCs w:val="22"/>
        <w:vertAlign w:val="superscript"/>
      </w:rPr>
      <w:t>nd</w:t>
    </w:r>
    <w:r>
      <w:rPr>
        <w:rFonts w:ascii="Times New Roman" w:hAnsi="Times New Roman" w:cs="Times New Roman"/>
        <w:color w:val="auto"/>
        <w:spacing w:val="-2"/>
        <w:sz w:val="22"/>
        <w:szCs w:val="22"/>
      </w:rPr>
      <w:t xml:space="preserve"> </w:t>
    </w:r>
    <w:r w:rsidRPr="00EA7ECD">
      <w:rPr>
        <w:rFonts w:ascii="Times New Roman" w:hAnsi="Times New Roman" w:cs="Times New Roman"/>
        <w:color w:val="auto"/>
        <w:spacing w:val="-2"/>
        <w:sz w:val="22"/>
        <w:szCs w:val="22"/>
      </w:rPr>
      <w:t>Annual West Texas Health Disparities Research Symposium</w:t>
    </w:r>
    <w:r>
      <w:rPr>
        <w:rFonts w:ascii="Times New Roman" w:hAnsi="Times New Roman" w:cs="Times New Roman"/>
        <w:color w:val="auto"/>
        <w:spacing w:val="-2"/>
        <w:sz w:val="22"/>
        <w:szCs w:val="22"/>
      </w:rPr>
      <w:t xml:space="preserve"> -March 22-23, 2024</w:t>
    </w:r>
  </w:p>
  <w:p w14:paraId="1C51DA35" w14:textId="77777777" w:rsidR="00EA7ECD" w:rsidRPr="00EA7ECD" w:rsidRDefault="00EA7ECD" w:rsidP="00EA7EC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839"/>
    <w:multiLevelType w:val="hybridMultilevel"/>
    <w:tmpl w:val="F9FE2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64A6F"/>
    <w:multiLevelType w:val="hybridMultilevel"/>
    <w:tmpl w:val="BC12A9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C37E07"/>
    <w:multiLevelType w:val="hybridMultilevel"/>
    <w:tmpl w:val="79F42334"/>
    <w:lvl w:ilvl="0" w:tplc="9EC6A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734C9"/>
    <w:multiLevelType w:val="hybridMultilevel"/>
    <w:tmpl w:val="645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836D8"/>
    <w:multiLevelType w:val="hybridMultilevel"/>
    <w:tmpl w:val="9140B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FF3A6A"/>
    <w:multiLevelType w:val="hybridMultilevel"/>
    <w:tmpl w:val="049C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F6"/>
    <w:rsid w:val="00001B0D"/>
    <w:rsid w:val="00001D70"/>
    <w:rsid w:val="000020C1"/>
    <w:rsid w:val="000052A0"/>
    <w:rsid w:val="00006BFB"/>
    <w:rsid w:val="00007879"/>
    <w:rsid w:val="00011D8C"/>
    <w:rsid w:val="000129D3"/>
    <w:rsid w:val="00012E3D"/>
    <w:rsid w:val="00014480"/>
    <w:rsid w:val="00020AAE"/>
    <w:rsid w:val="000266A2"/>
    <w:rsid w:val="000312DA"/>
    <w:rsid w:val="00032EC9"/>
    <w:rsid w:val="00033A6E"/>
    <w:rsid w:val="000360D7"/>
    <w:rsid w:val="000369BB"/>
    <w:rsid w:val="00041E55"/>
    <w:rsid w:val="00046DB4"/>
    <w:rsid w:val="000601BF"/>
    <w:rsid w:val="000649F8"/>
    <w:rsid w:val="000667DC"/>
    <w:rsid w:val="000674F3"/>
    <w:rsid w:val="00070620"/>
    <w:rsid w:val="000718F2"/>
    <w:rsid w:val="000747F7"/>
    <w:rsid w:val="00080F96"/>
    <w:rsid w:val="000844AA"/>
    <w:rsid w:val="000857E3"/>
    <w:rsid w:val="00091F72"/>
    <w:rsid w:val="00093130"/>
    <w:rsid w:val="00095289"/>
    <w:rsid w:val="000954CE"/>
    <w:rsid w:val="000A254E"/>
    <w:rsid w:val="000A5FC1"/>
    <w:rsid w:val="000A6340"/>
    <w:rsid w:val="000B02B0"/>
    <w:rsid w:val="000B115C"/>
    <w:rsid w:val="000B472E"/>
    <w:rsid w:val="000C038F"/>
    <w:rsid w:val="000C6C8B"/>
    <w:rsid w:val="000D476B"/>
    <w:rsid w:val="000E2244"/>
    <w:rsid w:val="000E3D4F"/>
    <w:rsid w:val="000E5C2E"/>
    <w:rsid w:val="00100B2B"/>
    <w:rsid w:val="0010488D"/>
    <w:rsid w:val="001055A7"/>
    <w:rsid w:val="00114B44"/>
    <w:rsid w:val="001156D0"/>
    <w:rsid w:val="00120ACA"/>
    <w:rsid w:val="00120B58"/>
    <w:rsid w:val="00120C98"/>
    <w:rsid w:val="00131604"/>
    <w:rsid w:val="00131F80"/>
    <w:rsid w:val="0013433B"/>
    <w:rsid w:val="001349C6"/>
    <w:rsid w:val="00137822"/>
    <w:rsid w:val="001425E6"/>
    <w:rsid w:val="0016130C"/>
    <w:rsid w:val="00162B9D"/>
    <w:rsid w:val="00162D4E"/>
    <w:rsid w:val="00165A8F"/>
    <w:rsid w:val="001671BE"/>
    <w:rsid w:val="00183270"/>
    <w:rsid w:val="001860C7"/>
    <w:rsid w:val="00186E0E"/>
    <w:rsid w:val="0019210E"/>
    <w:rsid w:val="00194889"/>
    <w:rsid w:val="001A0FC1"/>
    <w:rsid w:val="001A52CA"/>
    <w:rsid w:val="001A76A6"/>
    <w:rsid w:val="001B13E0"/>
    <w:rsid w:val="001B52BB"/>
    <w:rsid w:val="001C06CB"/>
    <w:rsid w:val="001C353A"/>
    <w:rsid w:val="001C424A"/>
    <w:rsid w:val="001C4902"/>
    <w:rsid w:val="001C5B9E"/>
    <w:rsid w:val="001D0E80"/>
    <w:rsid w:val="001D3B2D"/>
    <w:rsid w:val="001D45EA"/>
    <w:rsid w:val="001E23E6"/>
    <w:rsid w:val="001E4552"/>
    <w:rsid w:val="001E4B2C"/>
    <w:rsid w:val="002019E3"/>
    <w:rsid w:val="002023C4"/>
    <w:rsid w:val="00202E2A"/>
    <w:rsid w:val="00203EA6"/>
    <w:rsid w:val="0021032D"/>
    <w:rsid w:val="00211633"/>
    <w:rsid w:val="00216479"/>
    <w:rsid w:val="002264C5"/>
    <w:rsid w:val="00227075"/>
    <w:rsid w:val="00227A06"/>
    <w:rsid w:val="00233447"/>
    <w:rsid w:val="00236EA1"/>
    <w:rsid w:val="002416FF"/>
    <w:rsid w:val="00242D66"/>
    <w:rsid w:val="00255DED"/>
    <w:rsid w:val="0026022E"/>
    <w:rsid w:val="0026184A"/>
    <w:rsid w:val="00262EBB"/>
    <w:rsid w:val="00267FA1"/>
    <w:rsid w:val="00271291"/>
    <w:rsid w:val="0027328D"/>
    <w:rsid w:val="002819C7"/>
    <w:rsid w:val="00282309"/>
    <w:rsid w:val="002843A5"/>
    <w:rsid w:val="00284DE2"/>
    <w:rsid w:val="00286BDC"/>
    <w:rsid w:val="00292489"/>
    <w:rsid w:val="00294FB3"/>
    <w:rsid w:val="00297239"/>
    <w:rsid w:val="002B5BC1"/>
    <w:rsid w:val="002C019B"/>
    <w:rsid w:val="002D12F3"/>
    <w:rsid w:val="002D1521"/>
    <w:rsid w:val="002D3344"/>
    <w:rsid w:val="002D5259"/>
    <w:rsid w:val="002E11FC"/>
    <w:rsid w:val="002E58B0"/>
    <w:rsid w:val="002E6B95"/>
    <w:rsid w:val="002F0A9A"/>
    <w:rsid w:val="002F0DE3"/>
    <w:rsid w:val="002F2525"/>
    <w:rsid w:val="002F3655"/>
    <w:rsid w:val="002F3F34"/>
    <w:rsid w:val="002F7A69"/>
    <w:rsid w:val="00300873"/>
    <w:rsid w:val="0030460A"/>
    <w:rsid w:val="003058BD"/>
    <w:rsid w:val="0031017C"/>
    <w:rsid w:val="00313A68"/>
    <w:rsid w:val="00313E65"/>
    <w:rsid w:val="00314A10"/>
    <w:rsid w:val="003154EB"/>
    <w:rsid w:val="00315E08"/>
    <w:rsid w:val="00320622"/>
    <w:rsid w:val="0032191B"/>
    <w:rsid w:val="00327874"/>
    <w:rsid w:val="00332F6F"/>
    <w:rsid w:val="0033483F"/>
    <w:rsid w:val="00346771"/>
    <w:rsid w:val="00350A06"/>
    <w:rsid w:val="00352C48"/>
    <w:rsid w:val="00364B3B"/>
    <w:rsid w:val="00364E8B"/>
    <w:rsid w:val="003661AC"/>
    <w:rsid w:val="0037366A"/>
    <w:rsid w:val="0037695D"/>
    <w:rsid w:val="00376AA1"/>
    <w:rsid w:val="003813AF"/>
    <w:rsid w:val="00381884"/>
    <w:rsid w:val="0038191E"/>
    <w:rsid w:val="00384D2C"/>
    <w:rsid w:val="00392498"/>
    <w:rsid w:val="00392C99"/>
    <w:rsid w:val="00395AA4"/>
    <w:rsid w:val="0039725E"/>
    <w:rsid w:val="00397AFC"/>
    <w:rsid w:val="003A556D"/>
    <w:rsid w:val="003B0458"/>
    <w:rsid w:val="003B111A"/>
    <w:rsid w:val="003B4ED3"/>
    <w:rsid w:val="003C05B5"/>
    <w:rsid w:val="003C543E"/>
    <w:rsid w:val="003D1ABA"/>
    <w:rsid w:val="003D386D"/>
    <w:rsid w:val="003E319D"/>
    <w:rsid w:val="003E45A7"/>
    <w:rsid w:val="003E559C"/>
    <w:rsid w:val="003F64D9"/>
    <w:rsid w:val="003F749D"/>
    <w:rsid w:val="003F7622"/>
    <w:rsid w:val="00400286"/>
    <w:rsid w:val="0040123B"/>
    <w:rsid w:val="00401609"/>
    <w:rsid w:val="004047D2"/>
    <w:rsid w:val="0041141A"/>
    <w:rsid w:val="004121DD"/>
    <w:rsid w:val="00413C77"/>
    <w:rsid w:val="0041501B"/>
    <w:rsid w:val="00417C96"/>
    <w:rsid w:val="00421B29"/>
    <w:rsid w:val="004255A2"/>
    <w:rsid w:val="00425BFE"/>
    <w:rsid w:val="004332EF"/>
    <w:rsid w:val="00434FEF"/>
    <w:rsid w:val="00442D3A"/>
    <w:rsid w:val="004532A1"/>
    <w:rsid w:val="00454122"/>
    <w:rsid w:val="0046114A"/>
    <w:rsid w:val="00464BDE"/>
    <w:rsid w:val="004715C4"/>
    <w:rsid w:val="00473F6B"/>
    <w:rsid w:val="00474BA7"/>
    <w:rsid w:val="00477F91"/>
    <w:rsid w:val="00485899"/>
    <w:rsid w:val="00492DB3"/>
    <w:rsid w:val="00494058"/>
    <w:rsid w:val="004951A2"/>
    <w:rsid w:val="004954E7"/>
    <w:rsid w:val="00496045"/>
    <w:rsid w:val="004A089B"/>
    <w:rsid w:val="004A33A5"/>
    <w:rsid w:val="004A4277"/>
    <w:rsid w:val="004A60D2"/>
    <w:rsid w:val="004A7EB0"/>
    <w:rsid w:val="004B4A65"/>
    <w:rsid w:val="004B622F"/>
    <w:rsid w:val="004B7A31"/>
    <w:rsid w:val="004B7D14"/>
    <w:rsid w:val="004B7E52"/>
    <w:rsid w:val="004C10DB"/>
    <w:rsid w:val="004C2D6D"/>
    <w:rsid w:val="004C3AF7"/>
    <w:rsid w:val="004C4ACF"/>
    <w:rsid w:val="004C745A"/>
    <w:rsid w:val="004D0454"/>
    <w:rsid w:val="004D259E"/>
    <w:rsid w:val="004D3588"/>
    <w:rsid w:val="004D655E"/>
    <w:rsid w:val="004D7334"/>
    <w:rsid w:val="004E0E28"/>
    <w:rsid w:val="004E1127"/>
    <w:rsid w:val="004E1BC6"/>
    <w:rsid w:val="004E2A2A"/>
    <w:rsid w:val="004E334D"/>
    <w:rsid w:val="004E519C"/>
    <w:rsid w:val="004E52DD"/>
    <w:rsid w:val="004E6B93"/>
    <w:rsid w:val="004E6DEF"/>
    <w:rsid w:val="004F0750"/>
    <w:rsid w:val="004F15BF"/>
    <w:rsid w:val="004F7990"/>
    <w:rsid w:val="0050165D"/>
    <w:rsid w:val="005047E4"/>
    <w:rsid w:val="00506DC4"/>
    <w:rsid w:val="00510DD8"/>
    <w:rsid w:val="00513F8A"/>
    <w:rsid w:val="0052151F"/>
    <w:rsid w:val="00522A11"/>
    <w:rsid w:val="005257F9"/>
    <w:rsid w:val="00526400"/>
    <w:rsid w:val="00527FE4"/>
    <w:rsid w:val="00533401"/>
    <w:rsid w:val="005351A5"/>
    <w:rsid w:val="00535618"/>
    <w:rsid w:val="00541267"/>
    <w:rsid w:val="005413A6"/>
    <w:rsid w:val="005428C1"/>
    <w:rsid w:val="00542DC4"/>
    <w:rsid w:val="005430E6"/>
    <w:rsid w:val="00543834"/>
    <w:rsid w:val="00547977"/>
    <w:rsid w:val="00556F29"/>
    <w:rsid w:val="0055763E"/>
    <w:rsid w:val="005646EB"/>
    <w:rsid w:val="00567EC5"/>
    <w:rsid w:val="00576F10"/>
    <w:rsid w:val="005807A8"/>
    <w:rsid w:val="005822B7"/>
    <w:rsid w:val="00582A80"/>
    <w:rsid w:val="00591211"/>
    <w:rsid w:val="00593B15"/>
    <w:rsid w:val="00593C8F"/>
    <w:rsid w:val="0059414E"/>
    <w:rsid w:val="005972C8"/>
    <w:rsid w:val="005977F2"/>
    <w:rsid w:val="00597F5C"/>
    <w:rsid w:val="005B1005"/>
    <w:rsid w:val="005B3E53"/>
    <w:rsid w:val="005B4D24"/>
    <w:rsid w:val="005B71FF"/>
    <w:rsid w:val="005B7602"/>
    <w:rsid w:val="005B7F94"/>
    <w:rsid w:val="005D459D"/>
    <w:rsid w:val="005D7850"/>
    <w:rsid w:val="005E20D6"/>
    <w:rsid w:val="005E281E"/>
    <w:rsid w:val="005E429E"/>
    <w:rsid w:val="005E4C8A"/>
    <w:rsid w:val="005E6DFD"/>
    <w:rsid w:val="005E7351"/>
    <w:rsid w:val="005F02F7"/>
    <w:rsid w:val="005F4B63"/>
    <w:rsid w:val="005F5E7F"/>
    <w:rsid w:val="005F60D5"/>
    <w:rsid w:val="005F73F2"/>
    <w:rsid w:val="006036C7"/>
    <w:rsid w:val="00603D8F"/>
    <w:rsid w:val="0060660B"/>
    <w:rsid w:val="00610015"/>
    <w:rsid w:val="00615972"/>
    <w:rsid w:val="00622C8F"/>
    <w:rsid w:val="006233AE"/>
    <w:rsid w:val="0063309B"/>
    <w:rsid w:val="00636C59"/>
    <w:rsid w:val="00637A29"/>
    <w:rsid w:val="006405F0"/>
    <w:rsid w:val="00641F35"/>
    <w:rsid w:val="00644D6F"/>
    <w:rsid w:val="006559CC"/>
    <w:rsid w:val="0065639E"/>
    <w:rsid w:val="006577BE"/>
    <w:rsid w:val="006662D5"/>
    <w:rsid w:val="00673826"/>
    <w:rsid w:val="00674241"/>
    <w:rsid w:val="00685513"/>
    <w:rsid w:val="006919A7"/>
    <w:rsid w:val="006920F8"/>
    <w:rsid w:val="00693277"/>
    <w:rsid w:val="006954BE"/>
    <w:rsid w:val="006A0DF3"/>
    <w:rsid w:val="006A6661"/>
    <w:rsid w:val="006B606C"/>
    <w:rsid w:val="006B7AB7"/>
    <w:rsid w:val="006C424E"/>
    <w:rsid w:val="006C498B"/>
    <w:rsid w:val="006C5ADA"/>
    <w:rsid w:val="006C6A37"/>
    <w:rsid w:val="006D13B3"/>
    <w:rsid w:val="006D4702"/>
    <w:rsid w:val="006D5CCD"/>
    <w:rsid w:val="006D7208"/>
    <w:rsid w:val="006E2863"/>
    <w:rsid w:val="006E2DA1"/>
    <w:rsid w:val="006F630F"/>
    <w:rsid w:val="006F6F94"/>
    <w:rsid w:val="00702FFA"/>
    <w:rsid w:val="007049A2"/>
    <w:rsid w:val="00711DB0"/>
    <w:rsid w:val="00712892"/>
    <w:rsid w:val="007128FF"/>
    <w:rsid w:val="00713C60"/>
    <w:rsid w:val="00714A9C"/>
    <w:rsid w:val="00715FB9"/>
    <w:rsid w:val="007255A2"/>
    <w:rsid w:val="007256A2"/>
    <w:rsid w:val="00730384"/>
    <w:rsid w:val="00731813"/>
    <w:rsid w:val="00732431"/>
    <w:rsid w:val="007328C1"/>
    <w:rsid w:val="00733DA4"/>
    <w:rsid w:val="00734184"/>
    <w:rsid w:val="00735BD2"/>
    <w:rsid w:val="0073625D"/>
    <w:rsid w:val="007375D6"/>
    <w:rsid w:val="00742B27"/>
    <w:rsid w:val="007434D3"/>
    <w:rsid w:val="00743ABB"/>
    <w:rsid w:val="00744164"/>
    <w:rsid w:val="007464B8"/>
    <w:rsid w:val="00746A88"/>
    <w:rsid w:val="007536D0"/>
    <w:rsid w:val="0075495C"/>
    <w:rsid w:val="007626D0"/>
    <w:rsid w:val="0076596B"/>
    <w:rsid w:val="00770D6B"/>
    <w:rsid w:val="007723F9"/>
    <w:rsid w:val="00772BFD"/>
    <w:rsid w:val="00776859"/>
    <w:rsid w:val="00776F76"/>
    <w:rsid w:val="00781495"/>
    <w:rsid w:val="007820B8"/>
    <w:rsid w:val="00792E9A"/>
    <w:rsid w:val="00794EBA"/>
    <w:rsid w:val="007963CE"/>
    <w:rsid w:val="007A0D7E"/>
    <w:rsid w:val="007A685E"/>
    <w:rsid w:val="007A6991"/>
    <w:rsid w:val="007B25D0"/>
    <w:rsid w:val="007B4AEA"/>
    <w:rsid w:val="007B5C30"/>
    <w:rsid w:val="007D0BE2"/>
    <w:rsid w:val="007D2101"/>
    <w:rsid w:val="007D78D7"/>
    <w:rsid w:val="007E1E07"/>
    <w:rsid w:val="007E2C00"/>
    <w:rsid w:val="007E6A2D"/>
    <w:rsid w:val="007E7803"/>
    <w:rsid w:val="007F0A10"/>
    <w:rsid w:val="007F0A51"/>
    <w:rsid w:val="007F3A37"/>
    <w:rsid w:val="007F40DF"/>
    <w:rsid w:val="007F655D"/>
    <w:rsid w:val="00802F4B"/>
    <w:rsid w:val="00803DCA"/>
    <w:rsid w:val="00811BBB"/>
    <w:rsid w:val="00820037"/>
    <w:rsid w:val="00820767"/>
    <w:rsid w:val="00821AB4"/>
    <w:rsid w:val="008230FB"/>
    <w:rsid w:val="008231D8"/>
    <w:rsid w:val="00830C29"/>
    <w:rsid w:val="00836493"/>
    <w:rsid w:val="00841113"/>
    <w:rsid w:val="00841AF1"/>
    <w:rsid w:val="00843DB7"/>
    <w:rsid w:val="00845D5F"/>
    <w:rsid w:val="00846DFC"/>
    <w:rsid w:val="008508E7"/>
    <w:rsid w:val="00850E54"/>
    <w:rsid w:val="00854168"/>
    <w:rsid w:val="00855F8A"/>
    <w:rsid w:val="0085695D"/>
    <w:rsid w:val="0086078D"/>
    <w:rsid w:val="00866B33"/>
    <w:rsid w:val="008722D1"/>
    <w:rsid w:val="00872B02"/>
    <w:rsid w:val="00877692"/>
    <w:rsid w:val="008778B3"/>
    <w:rsid w:val="00881541"/>
    <w:rsid w:val="0088781C"/>
    <w:rsid w:val="008910B0"/>
    <w:rsid w:val="008914E1"/>
    <w:rsid w:val="008947D2"/>
    <w:rsid w:val="0089595C"/>
    <w:rsid w:val="00897AFE"/>
    <w:rsid w:val="008A2C81"/>
    <w:rsid w:val="008A686D"/>
    <w:rsid w:val="008A7B4A"/>
    <w:rsid w:val="008B34BA"/>
    <w:rsid w:val="008B366B"/>
    <w:rsid w:val="008B43A0"/>
    <w:rsid w:val="008B5640"/>
    <w:rsid w:val="008C4460"/>
    <w:rsid w:val="008D1736"/>
    <w:rsid w:val="008D587E"/>
    <w:rsid w:val="008D792B"/>
    <w:rsid w:val="008D7B38"/>
    <w:rsid w:val="008E31DA"/>
    <w:rsid w:val="008E403D"/>
    <w:rsid w:val="008E48F6"/>
    <w:rsid w:val="008E4930"/>
    <w:rsid w:val="008F06A6"/>
    <w:rsid w:val="008F0BE0"/>
    <w:rsid w:val="008F1BB3"/>
    <w:rsid w:val="008F1F33"/>
    <w:rsid w:val="008F2644"/>
    <w:rsid w:val="008F264B"/>
    <w:rsid w:val="008F49FF"/>
    <w:rsid w:val="008F679F"/>
    <w:rsid w:val="00903164"/>
    <w:rsid w:val="009065C3"/>
    <w:rsid w:val="00907173"/>
    <w:rsid w:val="00914FD9"/>
    <w:rsid w:val="00916973"/>
    <w:rsid w:val="00922AEB"/>
    <w:rsid w:val="00941B45"/>
    <w:rsid w:val="00943062"/>
    <w:rsid w:val="0094395A"/>
    <w:rsid w:val="009459FC"/>
    <w:rsid w:val="00946148"/>
    <w:rsid w:val="0094696E"/>
    <w:rsid w:val="0095064E"/>
    <w:rsid w:val="00960BDB"/>
    <w:rsid w:val="009613CB"/>
    <w:rsid w:val="00962488"/>
    <w:rsid w:val="00965624"/>
    <w:rsid w:val="00970D13"/>
    <w:rsid w:val="00971B03"/>
    <w:rsid w:val="0098323B"/>
    <w:rsid w:val="009904D5"/>
    <w:rsid w:val="00995DFA"/>
    <w:rsid w:val="009A21BD"/>
    <w:rsid w:val="009A38F8"/>
    <w:rsid w:val="009A4C2A"/>
    <w:rsid w:val="009A61EA"/>
    <w:rsid w:val="009B0519"/>
    <w:rsid w:val="009B0E1F"/>
    <w:rsid w:val="009B0FAA"/>
    <w:rsid w:val="009B1997"/>
    <w:rsid w:val="009B40ED"/>
    <w:rsid w:val="009C052E"/>
    <w:rsid w:val="009C0545"/>
    <w:rsid w:val="009C10CA"/>
    <w:rsid w:val="009C2EF3"/>
    <w:rsid w:val="009C507B"/>
    <w:rsid w:val="009C74E6"/>
    <w:rsid w:val="009E5A37"/>
    <w:rsid w:val="009F3DAE"/>
    <w:rsid w:val="009F7F38"/>
    <w:rsid w:val="00A00DF7"/>
    <w:rsid w:val="00A03B81"/>
    <w:rsid w:val="00A1228D"/>
    <w:rsid w:val="00A16334"/>
    <w:rsid w:val="00A24F0E"/>
    <w:rsid w:val="00A255B6"/>
    <w:rsid w:val="00A2683D"/>
    <w:rsid w:val="00A26EAD"/>
    <w:rsid w:val="00A34E25"/>
    <w:rsid w:val="00A4340D"/>
    <w:rsid w:val="00A46BDB"/>
    <w:rsid w:val="00A5210E"/>
    <w:rsid w:val="00A6080F"/>
    <w:rsid w:val="00A62C92"/>
    <w:rsid w:val="00A74CCC"/>
    <w:rsid w:val="00A75999"/>
    <w:rsid w:val="00A75F18"/>
    <w:rsid w:val="00A76B5D"/>
    <w:rsid w:val="00A82ACF"/>
    <w:rsid w:val="00A84E9D"/>
    <w:rsid w:val="00A87B46"/>
    <w:rsid w:val="00A91511"/>
    <w:rsid w:val="00A94358"/>
    <w:rsid w:val="00AA1951"/>
    <w:rsid w:val="00AA1EEA"/>
    <w:rsid w:val="00AA2014"/>
    <w:rsid w:val="00AA4500"/>
    <w:rsid w:val="00AA7E95"/>
    <w:rsid w:val="00AB17D1"/>
    <w:rsid w:val="00AB3F4B"/>
    <w:rsid w:val="00AB3F64"/>
    <w:rsid w:val="00AB4A5C"/>
    <w:rsid w:val="00AB5544"/>
    <w:rsid w:val="00AB674F"/>
    <w:rsid w:val="00AB7C5E"/>
    <w:rsid w:val="00AC48B5"/>
    <w:rsid w:val="00AC5D33"/>
    <w:rsid w:val="00AE2E6F"/>
    <w:rsid w:val="00AE38D1"/>
    <w:rsid w:val="00AF10F6"/>
    <w:rsid w:val="00AF292A"/>
    <w:rsid w:val="00AF2962"/>
    <w:rsid w:val="00AF2E75"/>
    <w:rsid w:val="00B068EC"/>
    <w:rsid w:val="00B07AC4"/>
    <w:rsid w:val="00B13F81"/>
    <w:rsid w:val="00B152EF"/>
    <w:rsid w:val="00B1566D"/>
    <w:rsid w:val="00B16B8A"/>
    <w:rsid w:val="00B17753"/>
    <w:rsid w:val="00B20374"/>
    <w:rsid w:val="00B20EE9"/>
    <w:rsid w:val="00B25941"/>
    <w:rsid w:val="00B27E51"/>
    <w:rsid w:val="00B30D2E"/>
    <w:rsid w:val="00B31368"/>
    <w:rsid w:val="00B37DA1"/>
    <w:rsid w:val="00B40EA2"/>
    <w:rsid w:val="00B41131"/>
    <w:rsid w:val="00B43006"/>
    <w:rsid w:val="00B443DB"/>
    <w:rsid w:val="00B44A95"/>
    <w:rsid w:val="00B47AFE"/>
    <w:rsid w:val="00B51CC5"/>
    <w:rsid w:val="00B52081"/>
    <w:rsid w:val="00B53189"/>
    <w:rsid w:val="00B5691C"/>
    <w:rsid w:val="00B60929"/>
    <w:rsid w:val="00B619D5"/>
    <w:rsid w:val="00B63CB6"/>
    <w:rsid w:val="00B653D3"/>
    <w:rsid w:val="00B65C09"/>
    <w:rsid w:val="00B721D8"/>
    <w:rsid w:val="00B72FA3"/>
    <w:rsid w:val="00B75816"/>
    <w:rsid w:val="00B81647"/>
    <w:rsid w:val="00B861F0"/>
    <w:rsid w:val="00B95090"/>
    <w:rsid w:val="00B954B6"/>
    <w:rsid w:val="00B97AEB"/>
    <w:rsid w:val="00BA6D78"/>
    <w:rsid w:val="00BB08BD"/>
    <w:rsid w:val="00BB1989"/>
    <w:rsid w:val="00BB582B"/>
    <w:rsid w:val="00BC7495"/>
    <w:rsid w:val="00BC7DA9"/>
    <w:rsid w:val="00BD6F88"/>
    <w:rsid w:val="00BE0A56"/>
    <w:rsid w:val="00BE1F35"/>
    <w:rsid w:val="00BE417E"/>
    <w:rsid w:val="00BE75BE"/>
    <w:rsid w:val="00BF160D"/>
    <w:rsid w:val="00BF2842"/>
    <w:rsid w:val="00C01DA0"/>
    <w:rsid w:val="00C03572"/>
    <w:rsid w:val="00C040CA"/>
    <w:rsid w:val="00C04E9A"/>
    <w:rsid w:val="00C1605B"/>
    <w:rsid w:val="00C2509A"/>
    <w:rsid w:val="00C31A0F"/>
    <w:rsid w:val="00C42AF1"/>
    <w:rsid w:val="00C4564D"/>
    <w:rsid w:val="00C45FBC"/>
    <w:rsid w:val="00C47946"/>
    <w:rsid w:val="00C51A70"/>
    <w:rsid w:val="00C539D7"/>
    <w:rsid w:val="00C548B2"/>
    <w:rsid w:val="00C55314"/>
    <w:rsid w:val="00C706D4"/>
    <w:rsid w:val="00C74224"/>
    <w:rsid w:val="00C77951"/>
    <w:rsid w:val="00C8032D"/>
    <w:rsid w:val="00C82BAD"/>
    <w:rsid w:val="00C82F6C"/>
    <w:rsid w:val="00C838D2"/>
    <w:rsid w:val="00C8677A"/>
    <w:rsid w:val="00C87A59"/>
    <w:rsid w:val="00C918C0"/>
    <w:rsid w:val="00C91D82"/>
    <w:rsid w:val="00C923FF"/>
    <w:rsid w:val="00C953E3"/>
    <w:rsid w:val="00CA35A9"/>
    <w:rsid w:val="00CA4FFB"/>
    <w:rsid w:val="00CA6C2E"/>
    <w:rsid w:val="00CB08E3"/>
    <w:rsid w:val="00CB22A4"/>
    <w:rsid w:val="00CB27C1"/>
    <w:rsid w:val="00CB7B6B"/>
    <w:rsid w:val="00CC2197"/>
    <w:rsid w:val="00CC4802"/>
    <w:rsid w:val="00CC48AB"/>
    <w:rsid w:val="00CD35E4"/>
    <w:rsid w:val="00CD50E3"/>
    <w:rsid w:val="00CD53DE"/>
    <w:rsid w:val="00CE46B2"/>
    <w:rsid w:val="00CE4E2E"/>
    <w:rsid w:val="00CF16F6"/>
    <w:rsid w:val="00CF1F1F"/>
    <w:rsid w:val="00D120F7"/>
    <w:rsid w:val="00D23329"/>
    <w:rsid w:val="00D23B16"/>
    <w:rsid w:val="00D26273"/>
    <w:rsid w:val="00D26428"/>
    <w:rsid w:val="00D27056"/>
    <w:rsid w:val="00D3113F"/>
    <w:rsid w:val="00D32DF6"/>
    <w:rsid w:val="00D3453B"/>
    <w:rsid w:val="00D36463"/>
    <w:rsid w:val="00D44583"/>
    <w:rsid w:val="00D4475D"/>
    <w:rsid w:val="00D465CE"/>
    <w:rsid w:val="00D50D36"/>
    <w:rsid w:val="00D53430"/>
    <w:rsid w:val="00D61100"/>
    <w:rsid w:val="00D679EA"/>
    <w:rsid w:val="00D76EB6"/>
    <w:rsid w:val="00D8376A"/>
    <w:rsid w:val="00D86A5B"/>
    <w:rsid w:val="00D979DD"/>
    <w:rsid w:val="00DA01E2"/>
    <w:rsid w:val="00DA0888"/>
    <w:rsid w:val="00DA3B24"/>
    <w:rsid w:val="00DA47DE"/>
    <w:rsid w:val="00DB1D2A"/>
    <w:rsid w:val="00DB394C"/>
    <w:rsid w:val="00DB3AA2"/>
    <w:rsid w:val="00DC438F"/>
    <w:rsid w:val="00DC5CAF"/>
    <w:rsid w:val="00DD1AEE"/>
    <w:rsid w:val="00DD2E97"/>
    <w:rsid w:val="00DD350D"/>
    <w:rsid w:val="00DD457A"/>
    <w:rsid w:val="00DD45E8"/>
    <w:rsid w:val="00DD5B26"/>
    <w:rsid w:val="00DD7D5C"/>
    <w:rsid w:val="00DE424F"/>
    <w:rsid w:val="00DE60A0"/>
    <w:rsid w:val="00DE6A6C"/>
    <w:rsid w:val="00DE7085"/>
    <w:rsid w:val="00DF1D56"/>
    <w:rsid w:val="00DF4ABD"/>
    <w:rsid w:val="00DF7F35"/>
    <w:rsid w:val="00E0275D"/>
    <w:rsid w:val="00E15106"/>
    <w:rsid w:val="00E15910"/>
    <w:rsid w:val="00E163AB"/>
    <w:rsid w:val="00E17774"/>
    <w:rsid w:val="00E17D3C"/>
    <w:rsid w:val="00E30BB8"/>
    <w:rsid w:val="00E3404A"/>
    <w:rsid w:val="00E35395"/>
    <w:rsid w:val="00E40721"/>
    <w:rsid w:val="00E4314D"/>
    <w:rsid w:val="00E442F0"/>
    <w:rsid w:val="00E44FBC"/>
    <w:rsid w:val="00E46901"/>
    <w:rsid w:val="00E4702D"/>
    <w:rsid w:val="00E4732D"/>
    <w:rsid w:val="00E5021E"/>
    <w:rsid w:val="00E52918"/>
    <w:rsid w:val="00E618B9"/>
    <w:rsid w:val="00E85969"/>
    <w:rsid w:val="00E86395"/>
    <w:rsid w:val="00E874C7"/>
    <w:rsid w:val="00E9462D"/>
    <w:rsid w:val="00E948AD"/>
    <w:rsid w:val="00EA094A"/>
    <w:rsid w:val="00EA12D8"/>
    <w:rsid w:val="00EA1F02"/>
    <w:rsid w:val="00EA5950"/>
    <w:rsid w:val="00EA7ECD"/>
    <w:rsid w:val="00EB1E51"/>
    <w:rsid w:val="00EB306B"/>
    <w:rsid w:val="00ED0A69"/>
    <w:rsid w:val="00ED0F6F"/>
    <w:rsid w:val="00ED5D15"/>
    <w:rsid w:val="00EE353B"/>
    <w:rsid w:val="00EE5290"/>
    <w:rsid w:val="00EF47BE"/>
    <w:rsid w:val="00F00F1B"/>
    <w:rsid w:val="00F018CA"/>
    <w:rsid w:val="00F05F18"/>
    <w:rsid w:val="00F062BF"/>
    <w:rsid w:val="00F14159"/>
    <w:rsid w:val="00F15678"/>
    <w:rsid w:val="00F15A91"/>
    <w:rsid w:val="00F23975"/>
    <w:rsid w:val="00F241C6"/>
    <w:rsid w:val="00F26E99"/>
    <w:rsid w:val="00F3182A"/>
    <w:rsid w:val="00F32262"/>
    <w:rsid w:val="00F36FA2"/>
    <w:rsid w:val="00F418CB"/>
    <w:rsid w:val="00F41C8D"/>
    <w:rsid w:val="00F43A89"/>
    <w:rsid w:val="00F51564"/>
    <w:rsid w:val="00F51718"/>
    <w:rsid w:val="00F539DC"/>
    <w:rsid w:val="00F558E1"/>
    <w:rsid w:val="00F577B1"/>
    <w:rsid w:val="00F674D3"/>
    <w:rsid w:val="00F71F9D"/>
    <w:rsid w:val="00F8015E"/>
    <w:rsid w:val="00F807A3"/>
    <w:rsid w:val="00F84CCE"/>
    <w:rsid w:val="00F86C65"/>
    <w:rsid w:val="00F94B74"/>
    <w:rsid w:val="00FA10F7"/>
    <w:rsid w:val="00FA2486"/>
    <w:rsid w:val="00FA3279"/>
    <w:rsid w:val="00FA64E1"/>
    <w:rsid w:val="00FA79CD"/>
    <w:rsid w:val="00FB38AD"/>
    <w:rsid w:val="00FB38C0"/>
    <w:rsid w:val="00FB5CAE"/>
    <w:rsid w:val="00FB6911"/>
    <w:rsid w:val="00FC17F4"/>
    <w:rsid w:val="00FC326F"/>
    <w:rsid w:val="00FC5B16"/>
    <w:rsid w:val="00FC75F4"/>
    <w:rsid w:val="00FD0A9A"/>
    <w:rsid w:val="00FE286B"/>
    <w:rsid w:val="00FE3904"/>
    <w:rsid w:val="00FE7F3D"/>
    <w:rsid w:val="00FF221A"/>
    <w:rsid w:val="00FF3358"/>
    <w:rsid w:val="00FF47C2"/>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1A2AC1F"/>
  <w15:docId w15:val="{D1A94893-BAF9-44CD-BEFC-6EFE5EE7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EB6"/>
    <w:rPr>
      <w:rFonts w:eastAsia="Times New Roman"/>
      <w:sz w:val="24"/>
      <w:szCs w:val="24"/>
    </w:rPr>
  </w:style>
  <w:style w:type="paragraph" w:styleId="Heading1">
    <w:name w:val="heading 1"/>
    <w:basedOn w:val="Normal"/>
    <w:next w:val="Normal"/>
    <w:link w:val="Heading1Char"/>
    <w:qFormat/>
    <w:rsid w:val="00A4340D"/>
    <w:pPr>
      <w:shd w:val="clear" w:color="auto" w:fill="FFFFFF"/>
      <w:spacing w:before="240" w:after="60"/>
      <w:outlineLvl w:val="0"/>
    </w:pPr>
    <w:rPr>
      <w:rFonts w:ascii="Tw Cen MT" w:hAnsi="Tw Cen MT" w:cs="Arial"/>
      <w:b/>
      <w:color w:val="7A1F1A"/>
      <w:sz w:val="32"/>
      <w:szCs w:val="20"/>
    </w:rPr>
  </w:style>
  <w:style w:type="paragraph" w:styleId="Heading2">
    <w:name w:val="heading 2"/>
    <w:basedOn w:val="Normal"/>
    <w:next w:val="Normal"/>
    <w:link w:val="Heading2Char"/>
    <w:qFormat/>
    <w:rsid w:val="009506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16F6"/>
    <w:pPr>
      <w:framePr w:w="7920" w:h="1980" w:hRule="exact" w:hSpace="180" w:wrap="auto" w:hAnchor="page" w:xAlign="center" w:yAlign="bottom"/>
      <w:ind w:left="2880"/>
    </w:pPr>
    <w:rPr>
      <w:rFonts w:ascii="Arial" w:hAnsi="Arial" w:cs="Arial"/>
      <w:sz w:val="20"/>
      <w:szCs w:val="20"/>
    </w:rPr>
  </w:style>
  <w:style w:type="table" w:styleId="TableGrid">
    <w:name w:val="Table Grid"/>
    <w:basedOn w:val="TableNormal"/>
    <w:rsid w:val="005B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6973"/>
    <w:pPr>
      <w:tabs>
        <w:tab w:val="center" w:pos="4320"/>
        <w:tab w:val="right" w:pos="8640"/>
      </w:tabs>
    </w:pPr>
  </w:style>
  <w:style w:type="paragraph" w:styleId="Footer">
    <w:name w:val="footer"/>
    <w:basedOn w:val="Normal"/>
    <w:rsid w:val="00916973"/>
    <w:pPr>
      <w:tabs>
        <w:tab w:val="center" w:pos="4320"/>
        <w:tab w:val="right" w:pos="8640"/>
      </w:tabs>
    </w:pPr>
  </w:style>
  <w:style w:type="paragraph" w:styleId="BalloonText">
    <w:name w:val="Balloon Text"/>
    <w:basedOn w:val="Normal"/>
    <w:semiHidden/>
    <w:rsid w:val="00B44A95"/>
    <w:rPr>
      <w:rFonts w:ascii="Tahoma" w:hAnsi="Tahoma" w:cs="Tahoma"/>
      <w:sz w:val="16"/>
      <w:szCs w:val="16"/>
    </w:rPr>
  </w:style>
  <w:style w:type="character" w:customStyle="1" w:styleId="Heading1Char">
    <w:name w:val="Heading 1 Char"/>
    <w:basedOn w:val="DefaultParagraphFont"/>
    <w:link w:val="Heading1"/>
    <w:rsid w:val="00A4340D"/>
    <w:rPr>
      <w:rFonts w:ascii="Tw Cen MT" w:eastAsia="Times New Roman" w:hAnsi="Tw Cen MT" w:cs="Arial"/>
      <w:b/>
      <w:color w:val="7A1F1A"/>
      <w:sz w:val="32"/>
      <w:shd w:val="clear" w:color="auto" w:fill="FFFFFF"/>
    </w:rPr>
  </w:style>
  <w:style w:type="character" w:styleId="Hyperlink">
    <w:name w:val="Hyperlink"/>
    <w:basedOn w:val="DefaultParagraphFont"/>
    <w:rsid w:val="009A38F8"/>
    <w:rPr>
      <w:color w:val="0000FF"/>
      <w:u w:val="single"/>
    </w:rPr>
  </w:style>
  <w:style w:type="paragraph" w:styleId="BodyText">
    <w:name w:val="Body Text"/>
    <w:basedOn w:val="Normal"/>
    <w:link w:val="BodyTextChar"/>
    <w:rsid w:val="0095064E"/>
    <w:pPr>
      <w:spacing w:after="120"/>
      <w:jc w:val="both"/>
    </w:pPr>
    <w:rPr>
      <w:rFonts w:ascii="Goudy Old Style" w:hAnsi="Goudy Old Style"/>
      <w:sz w:val="22"/>
      <w:szCs w:val="20"/>
    </w:rPr>
  </w:style>
  <w:style w:type="character" w:customStyle="1" w:styleId="BodyTextChar">
    <w:name w:val="Body Text Char"/>
    <w:basedOn w:val="DefaultParagraphFont"/>
    <w:link w:val="BodyText"/>
    <w:rsid w:val="0095064E"/>
    <w:rPr>
      <w:rFonts w:ascii="Goudy Old Style" w:eastAsia="Times New Roman" w:hAnsi="Goudy Old Style"/>
      <w:sz w:val="22"/>
    </w:rPr>
  </w:style>
  <w:style w:type="paragraph" w:customStyle="1" w:styleId="Lines">
    <w:name w:val="Lines"/>
    <w:basedOn w:val="Heading2"/>
    <w:rsid w:val="0095064E"/>
    <w:pPr>
      <w:keepNext w:val="0"/>
      <w:tabs>
        <w:tab w:val="left" w:leader="underscore" w:pos="8640"/>
      </w:tabs>
      <w:spacing w:before="120" w:after="0"/>
      <w:jc w:val="center"/>
    </w:pPr>
    <w:rPr>
      <w:rFonts w:ascii="GoudyOlSt BT" w:eastAsia="MS Mincho" w:hAnsi="GoudyOlSt BT" w:cs="Tahoma"/>
      <w:iCs w:val="0"/>
      <w:color w:val="000000"/>
      <w:sz w:val="20"/>
      <w:szCs w:val="24"/>
    </w:rPr>
  </w:style>
  <w:style w:type="paragraph" w:customStyle="1" w:styleId="StyleLinesTahomaNotItalic">
    <w:name w:val="Style Lines + Tahoma Not Italic"/>
    <w:basedOn w:val="Lines"/>
    <w:rsid w:val="0095064E"/>
    <w:pPr>
      <w:tabs>
        <w:tab w:val="clear" w:pos="8640"/>
        <w:tab w:val="left" w:leader="underscore" w:pos="9900"/>
      </w:tabs>
    </w:pPr>
    <w:rPr>
      <w:rFonts w:ascii="Tahoma" w:hAnsi="Tahoma"/>
      <w:i w:val="0"/>
    </w:rPr>
  </w:style>
  <w:style w:type="character" w:customStyle="1" w:styleId="Heading2Char">
    <w:name w:val="Heading 2 Char"/>
    <w:basedOn w:val="DefaultParagraphFont"/>
    <w:link w:val="Heading2"/>
    <w:semiHidden/>
    <w:rsid w:val="0095064E"/>
    <w:rPr>
      <w:rFonts w:ascii="Cambria" w:eastAsia="Times New Roman" w:hAnsi="Cambria" w:cs="Times New Roman"/>
      <w:b/>
      <w:bCs/>
      <w:i/>
      <w:iCs/>
      <w:sz w:val="28"/>
      <w:szCs w:val="28"/>
    </w:rPr>
  </w:style>
  <w:style w:type="table" w:styleId="TableWeb2">
    <w:name w:val="Table Web 2"/>
    <w:basedOn w:val="TableNormal"/>
    <w:rsid w:val="00674241"/>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2">
    <w:name w:val="Char Char2"/>
    <w:basedOn w:val="DefaultParagraphFont"/>
    <w:locked/>
    <w:rsid w:val="004A4277"/>
    <w:rPr>
      <w:rFonts w:ascii="Tw Cen MT" w:hAnsi="Tw Cen MT" w:cs="Arial"/>
      <w:b/>
      <w:color w:val="7A1F1A"/>
      <w:sz w:val="32"/>
      <w:lang w:val="en-US" w:eastAsia="en-US" w:bidi="ar-SA"/>
    </w:rPr>
  </w:style>
  <w:style w:type="paragraph" w:styleId="NormalWeb">
    <w:name w:val="Normal (Web)"/>
    <w:basedOn w:val="Normal"/>
    <w:uiPriority w:val="99"/>
    <w:unhideWhenUsed/>
    <w:rsid w:val="002D3344"/>
    <w:pPr>
      <w:spacing w:before="100" w:beforeAutospacing="1" w:after="100" w:afterAutospacing="1"/>
    </w:pPr>
    <w:rPr>
      <w:rFonts w:eastAsiaTheme="minorHAnsi"/>
    </w:rPr>
  </w:style>
  <w:style w:type="character" w:styleId="Strong">
    <w:name w:val="Strong"/>
    <w:basedOn w:val="DefaultParagraphFont"/>
    <w:uiPriority w:val="22"/>
    <w:qFormat/>
    <w:rsid w:val="002D3344"/>
    <w:rPr>
      <w:b/>
      <w:bCs/>
    </w:rPr>
  </w:style>
  <w:style w:type="paragraph" w:customStyle="1" w:styleId="Default">
    <w:name w:val="Default"/>
    <w:rsid w:val="00B52081"/>
    <w:pPr>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B52081"/>
    <w:pPr>
      <w:spacing w:line="241" w:lineRule="atLeast"/>
    </w:pPr>
    <w:rPr>
      <w:rFonts w:cs="Times New Roman"/>
      <w:color w:val="auto"/>
    </w:rPr>
  </w:style>
  <w:style w:type="character" w:customStyle="1" w:styleId="A0">
    <w:name w:val="A0"/>
    <w:uiPriority w:val="99"/>
    <w:rsid w:val="00B52081"/>
    <w:rPr>
      <w:rFonts w:cs="Arial Narrow"/>
      <w:color w:val="221E1F"/>
      <w:sz w:val="22"/>
      <w:szCs w:val="22"/>
    </w:rPr>
  </w:style>
  <w:style w:type="paragraph" w:styleId="ListParagraph">
    <w:name w:val="List Paragraph"/>
    <w:basedOn w:val="Normal"/>
    <w:uiPriority w:val="34"/>
    <w:qFormat/>
    <w:rsid w:val="002D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50467">
      <w:bodyDiv w:val="1"/>
      <w:marLeft w:val="0"/>
      <w:marRight w:val="0"/>
      <w:marTop w:val="0"/>
      <w:marBottom w:val="0"/>
      <w:divBdr>
        <w:top w:val="none" w:sz="0" w:space="0" w:color="auto"/>
        <w:left w:val="none" w:sz="0" w:space="0" w:color="auto"/>
        <w:bottom w:val="none" w:sz="0" w:space="0" w:color="auto"/>
        <w:right w:val="none" w:sz="0" w:space="0" w:color="auto"/>
      </w:divBdr>
    </w:div>
    <w:div w:id="363752694">
      <w:bodyDiv w:val="1"/>
      <w:marLeft w:val="0"/>
      <w:marRight w:val="0"/>
      <w:marTop w:val="0"/>
      <w:marBottom w:val="0"/>
      <w:divBdr>
        <w:top w:val="none" w:sz="0" w:space="0" w:color="auto"/>
        <w:left w:val="none" w:sz="0" w:space="0" w:color="auto"/>
        <w:bottom w:val="none" w:sz="0" w:space="0" w:color="auto"/>
        <w:right w:val="none" w:sz="0" w:space="0" w:color="auto"/>
      </w:divBdr>
    </w:div>
    <w:div w:id="408380756">
      <w:bodyDiv w:val="1"/>
      <w:marLeft w:val="0"/>
      <w:marRight w:val="0"/>
      <w:marTop w:val="0"/>
      <w:marBottom w:val="0"/>
      <w:divBdr>
        <w:top w:val="none" w:sz="0" w:space="0" w:color="auto"/>
        <w:left w:val="none" w:sz="0" w:space="0" w:color="auto"/>
        <w:bottom w:val="none" w:sz="0" w:space="0" w:color="auto"/>
        <w:right w:val="none" w:sz="0" w:space="0" w:color="auto"/>
      </w:divBdr>
    </w:div>
    <w:div w:id="457728320">
      <w:bodyDiv w:val="1"/>
      <w:marLeft w:val="0"/>
      <w:marRight w:val="0"/>
      <w:marTop w:val="0"/>
      <w:marBottom w:val="0"/>
      <w:divBdr>
        <w:top w:val="none" w:sz="0" w:space="0" w:color="auto"/>
        <w:left w:val="none" w:sz="0" w:space="0" w:color="auto"/>
        <w:bottom w:val="none" w:sz="0" w:space="0" w:color="auto"/>
        <w:right w:val="none" w:sz="0" w:space="0" w:color="auto"/>
      </w:divBdr>
    </w:div>
    <w:div w:id="564991607">
      <w:bodyDiv w:val="1"/>
      <w:marLeft w:val="0"/>
      <w:marRight w:val="0"/>
      <w:marTop w:val="0"/>
      <w:marBottom w:val="0"/>
      <w:divBdr>
        <w:top w:val="none" w:sz="0" w:space="0" w:color="auto"/>
        <w:left w:val="none" w:sz="0" w:space="0" w:color="auto"/>
        <w:bottom w:val="none" w:sz="0" w:space="0" w:color="auto"/>
        <w:right w:val="none" w:sz="0" w:space="0" w:color="auto"/>
      </w:divBdr>
    </w:div>
    <w:div w:id="762532057">
      <w:bodyDiv w:val="1"/>
      <w:marLeft w:val="0"/>
      <w:marRight w:val="0"/>
      <w:marTop w:val="0"/>
      <w:marBottom w:val="0"/>
      <w:divBdr>
        <w:top w:val="none" w:sz="0" w:space="0" w:color="auto"/>
        <w:left w:val="none" w:sz="0" w:space="0" w:color="auto"/>
        <w:bottom w:val="none" w:sz="0" w:space="0" w:color="auto"/>
        <w:right w:val="none" w:sz="0" w:space="0" w:color="auto"/>
      </w:divBdr>
    </w:div>
    <w:div w:id="775101522">
      <w:bodyDiv w:val="1"/>
      <w:marLeft w:val="0"/>
      <w:marRight w:val="0"/>
      <w:marTop w:val="0"/>
      <w:marBottom w:val="0"/>
      <w:divBdr>
        <w:top w:val="none" w:sz="0" w:space="0" w:color="auto"/>
        <w:left w:val="none" w:sz="0" w:space="0" w:color="auto"/>
        <w:bottom w:val="none" w:sz="0" w:space="0" w:color="auto"/>
        <w:right w:val="none" w:sz="0" w:space="0" w:color="auto"/>
      </w:divBdr>
    </w:div>
    <w:div w:id="794838326">
      <w:bodyDiv w:val="1"/>
      <w:marLeft w:val="0"/>
      <w:marRight w:val="0"/>
      <w:marTop w:val="0"/>
      <w:marBottom w:val="0"/>
      <w:divBdr>
        <w:top w:val="none" w:sz="0" w:space="0" w:color="auto"/>
        <w:left w:val="none" w:sz="0" w:space="0" w:color="auto"/>
        <w:bottom w:val="none" w:sz="0" w:space="0" w:color="auto"/>
        <w:right w:val="none" w:sz="0" w:space="0" w:color="auto"/>
      </w:divBdr>
      <w:divsChild>
        <w:div w:id="973603524">
          <w:marLeft w:val="0"/>
          <w:marRight w:val="0"/>
          <w:marTop w:val="0"/>
          <w:marBottom w:val="0"/>
          <w:divBdr>
            <w:top w:val="none" w:sz="0" w:space="0" w:color="auto"/>
            <w:left w:val="none" w:sz="0" w:space="0" w:color="auto"/>
            <w:bottom w:val="none" w:sz="0" w:space="0" w:color="auto"/>
            <w:right w:val="none" w:sz="0" w:space="0" w:color="auto"/>
          </w:divBdr>
        </w:div>
      </w:divsChild>
    </w:div>
    <w:div w:id="801652033">
      <w:bodyDiv w:val="1"/>
      <w:marLeft w:val="0"/>
      <w:marRight w:val="0"/>
      <w:marTop w:val="0"/>
      <w:marBottom w:val="0"/>
      <w:divBdr>
        <w:top w:val="none" w:sz="0" w:space="0" w:color="auto"/>
        <w:left w:val="none" w:sz="0" w:space="0" w:color="auto"/>
        <w:bottom w:val="none" w:sz="0" w:space="0" w:color="auto"/>
        <w:right w:val="none" w:sz="0" w:space="0" w:color="auto"/>
      </w:divBdr>
    </w:div>
    <w:div w:id="825634417">
      <w:bodyDiv w:val="1"/>
      <w:marLeft w:val="0"/>
      <w:marRight w:val="0"/>
      <w:marTop w:val="0"/>
      <w:marBottom w:val="0"/>
      <w:divBdr>
        <w:top w:val="none" w:sz="0" w:space="0" w:color="auto"/>
        <w:left w:val="none" w:sz="0" w:space="0" w:color="auto"/>
        <w:bottom w:val="none" w:sz="0" w:space="0" w:color="auto"/>
        <w:right w:val="none" w:sz="0" w:space="0" w:color="auto"/>
      </w:divBdr>
    </w:div>
    <w:div w:id="858542881">
      <w:bodyDiv w:val="1"/>
      <w:marLeft w:val="0"/>
      <w:marRight w:val="0"/>
      <w:marTop w:val="0"/>
      <w:marBottom w:val="0"/>
      <w:divBdr>
        <w:top w:val="none" w:sz="0" w:space="0" w:color="auto"/>
        <w:left w:val="none" w:sz="0" w:space="0" w:color="auto"/>
        <w:bottom w:val="none" w:sz="0" w:space="0" w:color="auto"/>
        <w:right w:val="none" w:sz="0" w:space="0" w:color="auto"/>
      </w:divBdr>
      <w:divsChild>
        <w:div w:id="690302363">
          <w:marLeft w:val="0"/>
          <w:marRight w:val="0"/>
          <w:marTop w:val="0"/>
          <w:marBottom w:val="0"/>
          <w:divBdr>
            <w:top w:val="none" w:sz="0" w:space="0" w:color="auto"/>
            <w:left w:val="none" w:sz="0" w:space="0" w:color="auto"/>
            <w:bottom w:val="none" w:sz="0" w:space="0" w:color="auto"/>
            <w:right w:val="none" w:sz="0" w:space="0" w:color="auto"/>
          </w:divBdr>
        </w:div>
      </w:divsChild>
    </w:div>
    <w:div w:id="934822605">
      <w:bodyDiv w:val="1"/>
      <w:marLeft w:val="0"/>
      <w:marRight w:val="0"/>
      <w:marTop w:val="0"/>
      <w:marBottom w:val="0"/>
      <w:divBdr>
        <w:top w:val="none" w:sz="0" w:space="0" w:color="auto"/>
        <w:left w:val="none" w:sz="0" w:space="0" w:color="auto"/>
        <w:bottom w:val="none" w:sz="0" w:space="0" w:color="auto"/>
        <w:right w:val="none" w:sz="0" w:space="0" w:color="auto"/>
      </w:divBdr>
    </w:div>
    <w:div w:id="1253931049">
      <w:bodyDiv w:val="1"/>
      <w:marLeft w:val="0"/>
      <w:marRight w:val="0"/>
      <w:marTop w:val="0"/>
      <w:marBottom w:val="0"/>
      <w:divBdr>
        <w:top w:val="none" w:sz="0" w:space="0" w:color="auto"/>
        <w:left w:val="none" w:sz="0" w:space="0" w:color="auto"/>
        <w:bottom w:val="none" w:sz="0" w:space="0" w:color="auto"/>
        <w:right w:val="none" w:sz="0" w:space="0" w:color="auto"/>
      </w:divBdr>
    </w:div>
    <w:div w:id="1543329043">
      <w:bodyDiv w:val="1"/>
      <w:marLeft w:val="0"/>
      <w:marRight w:val="0"/>
      <w:marTop w:val="0"/>
      <w:marBottom w:val="0"/>
      <w:divBdr>
        <w:top w:val="none" w:sz="0" w:space="0" w:color="auto"/>
        <w:left w:val="none" w:sz="0" w:space="0" w:color="auto"/>
        <w:bottom w:val="none" w:sz="0" w:space="0" w:color="auto"/>
        <w:right w:val="none" w:sz="0" w:space="0" w:color="auto"/>
      </w:divBdr>
      <w:divsChild>
        <w:div w:id="2014911018">
          <w:marLeft w:val="0"/>
          <w:marRight w:val="0"/>
          <w:marTop w:val="0"/>
          <w:marBottom w:val="0"/>
          <w:divBdr>
            <w:top w:val="none" w:sz="0" w:space="0" w:color="auto"/>
            <w:left w:val="none" w:sz="0" w:space="0" w:color="auto"/>
            <w:bottom w:val="none" w:sz="0" w:space="0" w:color="auto"/>
            <w:right w:val="none" w:sz="0" w:space="0" w:color="auto"/>
          </w:divBdr>
        </w:div>
      </w:divsChild>
    </w:div>
    <w:div w:id="1605764448">
      <w:bodyDiv w:val="1"/>
      <w:marLeft w:val="0"/>
      <w:marRight w:val="0"/>
      <w:marTop w:val="0"/>
      <w:marBottom w:val="0"/>
      <w:divBdr>
        <w:top w:val="none" w:sz="0" w:space="0" w:color="auto"/>
        <w:left w:val="none" w:sz="0" w:space="0" w:color="auto"/>
        <w:bottom w:val="none" w:sz="0" w:space="0" w:color="auto"/>
        <w:right w:val="none" w:sz="0" w:space="0" w:color="auto"/>
      </w:divBdr>
    </w:div>
    <w:div w:id="1647736825">
      <w:bodyDiv w:val="1"/>
      <w:marLeft w:val="0"/>
      <w:marRight w:val="0"/>
      <w:marTop w:val="0"/>
      <w:marBottom w:val="0"/>
      <w:divBdr>
        <w:top w:val="none" w:sz="0" w:space="0" w:color="auto"/>
        <w:left w:val="none" w:sz="0" w:space="0" w:color="auto"/>
        <w:bottom w:val="none" w:sz="0" w:space="0" w:color="auto"/>
        <w:right w:val="none" w:sz="0" w:space="0" w:color="auto"/>
      </w:divBdr>
    </w:div>
    <w:div w:id="1663046000">
      <w:bodyDiv w:val="1"/>
      <w:marLeft w:val="0"/>
      <w:marRight w:val="0"/>
      <w:marTop w:val="0"/>
      <w:marBottom w:val="0"/>
      <w:divBdr>
        <w:top w:val="none" w:sz="0" w:space="0" w:color="auto"/>
        <w:left w:val="none" w:sz="0" w:space="0" w:color="auto"/>
        <w:bottom w:val="none" w:sz="0" w:space="0" w:color="auto"/>
        <w:right w:val="none" w:sz="0" w:space="0" w:color="auto"/>
      </w:divBdr>
    </w:div>
    <w:div w:id="1745372925">
      <w:bodyDiv w:val="1"/>
      <w:marLeft w:val="0"/>
      <w:marRight w:val="0"/>
      <w:marTop w:val="0"/>
      <w:marBottom w:val="0"/>
      <w:divBdr>
        <w:top w:val="none" w:sz="0" w:space="0" w:color="auto"/>
        <w:left w:val="none" w:sz="0" w:space="0" w:color="auto"/>
        <w:bottom w:val="none" w:sz="0" w:space="0" w:color="auto"/>
        <w:right w:val="none" w:sz="0" w:space="0" w:color="auto"/>
      </w:divBdr>
    </w:div>
    <w:div w:id="1788618308">
      <w:bodyDiv w:val="1"/>
      <w:marLeft w:val="0"/>
      <w:marRight w:val="0"/>
      <w:marTop w:val="0"/>
      <w:marBottom w:val="0"/>
      <w:divBdr>
        <w:top w:val="none" w:sz="0" w:space="0" w:color="auto"/>
        <w:left w:val="none" w:sz="0" w:space="0" w:color="auto"/>
        <w:bottom w:val="none" w:sz="0" w:space="0" w:color="auto"/>
        <w:right w:val="none" w:sz="0" w:space="0" w:color="auto"/>
      </w:divBdr>
    </w:div>
    <w:div w:id="1819149466">
      <w:bodyDiv w:val="1"/>
      <w:marLeft w:val="0"/>
      <w:marRight w:val="0"/>
      <w:marTop w:val="0"/>
      <w:marBottom w:val="0"/>
      <w:divBdr>
        <w:top w:val="none" w:sz="0" w:space="0" w:color="auto"/>
        <w:left w:val="none" w:sz="0" w:space="0" w:color="auto"/>
        <w:bottom w:val="none" w:sz="0" w:space="0" w:color="auto"/>
        <w:right w:val="none" w:sz="0" w:space="0" w:color="auto"/>
      </w:divBdr>
      <w:divsChild>
        <w:div w:id="664213692">
          <w:marLeft w:val="0"/>
          <w:marRight w:val="0"/>
          <w:marTop w:val="0"/>
          <w:marBottom w:val="0"/>
          <w:divBdr>
            <w:top w:val="none" w:sz="0" w:space="0" w:color="auto"/>
            <w:left w:val="none" w:sz="0" w:space="0" w:color="auto"/>
            <w:bottom w:val="none" w:sz="0" w:space="0" w:color="auto"/>
            <w:right w:val="none" w:sz="0" w:space="0" w:color="auto"/>
          </w:divBdr>
        </w:div>
      </w:divsChild>
    </w:div>
    <w:div w:id="1983073858">
      <w:bodyDiv w:val="1"/>
      <w:marLeft w:val="0"/>
      <w:marRight w:val="0"/>
      <w:marTop w:val="0"/>
      <w:marBottom w:val="0"/>
      <w:divBdr>
        <w:top w:val="none" w:sz="0" w:space="0" w:color="auto"/>
        <w:left w:val="none" w:sz="0" w:space="0" w:color="auto"/>
        <w:bottom w:val="none" w:sz="0" w:space="0" w:color="auto"/>
        <w:right w:val="none" w:sz="0" w:space="0" w:color="auto"/>
      </w:divBdr>
    </w:div>
    <w:div w:id="20388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3166-306B-4CE7-B080-4A8B9475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343</Words>
  <Characters>2049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7:00 am</vt:lpstr>
    </vt:vector>
  </TitlesOfParts>
  <Company>Baylor Health Care System</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 am</dc:title>
  <dc:subject/>
  <dc:creator>Nabrinad</dc:creator>
  <cp:keywords/>
  <dc:description/>
  <cp:lastModifiedBy>Fuentes, Edgar</cp:lastModifiedBy>
  <cp:revision>5</cp:revision>
  <cp:lastPrinted>2022-09-27T22:20:00Z</cp:lastPrinted>
  <dcterms:created xsi:type="dcterms:W3CDTF">2024-03-04T19:36:00Z</dcterms:created>
  <dcterms:modified xsi:type="dcterms:W3CDTF">2024-03-18T18:44:00Z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e8ba9e95f9c3f97c1b2711e7d8e91456e49664c502512dadf89d9fc6792e5785</vt:lpwstr>
  </property>
</Properties>
</file>