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02333" w14:textId="77777777" w:rsidR="00FC420B" w:rsidRPr="00E956F2" w:rsidRDefault="00FC420B" w:rsidP="008121F4">
      <w:pPr>
        <w:tabs>
          <w:tab w:val="left" w:pos="1440"/>
        </w:tabs>
        <w:ind w:left="1440" w:hanging="1440"/>
        <w:jc w:val="both"/>
        <w:rPr>
          <w:rFonts w:cs="Arial"/>
          <w:b/>
          <w:szCs w:val="20"/>
        </w:rPr>
      </w:pPr>
      <w:r w:rsidRPr="00E956F2">
        <w:rPr>
          <w:rFonts w:cs="Arial"/>
          <w:b/>
          <w:szCs w:val="20"/>
        </w:rPr>
        <w:t>SOM</w:t>
      </w:r>
      <w:r>
        <w:rPr>
          <w:rFonts w:cs="Arial"/>
          <w:b/>
          <w:szCs w:val="20"/>
        </w:rPr>
        <w:t xml:space="preserve"> </w:t>
      </w:r>
      <w:r w:rsidRPr="00E956F2">
        <w:rPr>
          <w:rFonts w:cs="Arial"/>
          <w:b/>
          <w:szCs w:val="20"/>
        </w:rPr>
        <w:t>OP</w:t>
      </w:r>
      <w:r>
        <w:rPr>
          <w:rFonts w:cs="Arial"/>
          <w:b/>
          <w:szCs w:val="20"/>
        </w:rPr>
        <w:t>:</w:t>
      </w:r>
      <w:r>
        <w:rPr>
          <w:rFonts w:cs="Arial"/>
          <w:b/>
          <w:szCs w:val="20"/>
        </w:rPr>
        <w:tab/>
      </w:r>
      <w:r w:rsidRPr="00E46086">
        <w:rPr>
          <w:rFonts w:cs="Arial"/>
          <w:szCs w:val="20"/>
        </w:rPr>
        <w:t>30.08,</w:t>
      </w:r>
      <w:r>
        <w:rPr>
          <w:rFonts w:cs="Arial"/>
          <w:b/>
          <w:szCs w:val="20"/>
        </w:rPr>
        <w:t xml:space="preserve"> </w:t>
      </w:r>
      <w:r w:rsidRPr="00E956F2">
        <w:rPr>
          <w:rFonts w:cs="Arial"/>
          <w:b/>
          <w:szCs w:val="20"/>
        </w:rPr>
        <w:t>Non-Involvement of Providers of Student Health Services in Student Assessment</w:t>
      </w:r>
    </w:p>
    <w:p w14:paraId="21C4FB21" w14:textId="77777777" w:rsidR="00FC420B" w:rsidRPr="00E956F2" w:rsidRDefault="00FC420B" w:rsidP="008121F4">
      <w:pPr>
        <w:tabs>
          <w:tab w:val="left" w:pos="1440"/>
        </w:tabs>
        <w:ind w:left="1440" w:hanging="1440"/>
        <w:jc w:val="both"/>
        <w:rPr>
          <w:rFonts w:cs="Arial"/>
          <w:szCs w:val="20"/>
        </w:rPr>
      </w:pPr>
      <w:r w:rsidRPr="00E956F2">
        <w:rPr>
          <w:rFonts w:cs="Arial"/>
          <w:b/>
          <w:szCs w:val="20"/>
        </w:rPr>
        <w:t>PURPOSE</w:t>
      </w:r>
      <w:r w:rsidRPr="00E956F2">
        <w:rPr>
          <w:rFonts w:cs="Arial"/>
          <w:szCs w:val="20"/>
        </w:rPr>
        <w:t xml:space="preserve">: </w:t>
      </w:r>
      <w:r w:rsidRPr="00E956F2">
        <w:rPr>
          <w:rFonts w:cs="Arial"/>
          <w:szCs w:val="20"/>
        </w:rPr>
        <w:tab/>
        <w:t>The purpose of this School of Medicine (SOM) Policy and Procedure is to outline a process for ensuring medical providers of student health services have no role in student assessment or academic progress decisions.</w:t>
      </w:r>
    </w:p>
    <w:p w14:paraId="4972D78F" w14:textId="711AC597" w:rsidR="00FC420B" w:rsidRPr="00E956F2" w:rsidRDefault="00FC420B" w:rsidP="008121F4">
      <w:pPr>
        <w:tabs>
          <w:tab w:val="left" w:pos="1440"/>
        </w:tabs>
        <w:ind w:left="1440" w:hanging="1440"/>
        <w:jc w:val="both"/>
        <w:rPr>
          <w:rFonts w:cs="Arial"/>
          <w:szCs w:val="20"/>
        </w:rPr>
      </w:pPr>
      <w:r w:rsidRPr="00E956F2">
        <w:rPr>
          <w:rFonts w:cs="Arial"/>
          <w:b/>
          <w:szCs w:val="20"/>
        </w:rPr>
        <w:t>REVIEW:</w:t>
      </w:r>
      <w:r w:rsidRPr="00E956F2">
        <w:rPr>
          <w:rFonts w:cs="Arial"/>
          <w:szCs w:val="20"/>
        </w:rPr>
        <w:tab/>
        <w:t xml:space="preserve">This SOM Policy and Procedure will be reviewed within each odd-numbered fiscal year by the Student </w:t>
      </w:r>
      <w:r w:rsidR="008121F4">
        <w:rPr>
          <w:rFonts w:cs="Arial"/>
          <w:szCs w:val="20"/>
        </w:rPr>
        <w:t>Affairs Committee</w:t>
      </w:r>
      <w:r w:rsidRPr="00E956F2">
        <w:rPr>
          <w:rFonts w:cs="Arial"/>
          <w:szCs w:val="20"/>
        </w:rPr>
        <w:t>. Revisions will be forwarded to the Office of the Dean for approval and publication.</w:t>
      </w:r>
    </w:p>
    <w:p w14:paraId="6C05BA6C" w14:textId="77777777" w:rsidR="00FC420B" w:rsidRPr="00E956F2" w:rsidRDefault="00FC420B" w:rsidP="008121F4">
      <w:pPr>
        <w:tabs>
          <w:tab w:val="left" w:pos="1440"/>
        </w:tabs>
        <w:ind w:left="1440" w:hanging="1440"/>
        <w:jc w:val="both"/>
        <w:rPr>
          <w:rFonts w:cs="Arial"/>
          <w:b/>
          <w:szCs w:val="20"/>
        </w:rPr>
      </w:pPr>
      <w:r w:rsidRPr="00E956F2">
        <w:rPr>
          <w:rFonts w:cs="Arial"/>
          <w:b/>
          <w:szCs w:val="20"/>
        </w:rPr>
        <w:t>POLICY/PROCEDURE:</w:t>
      </w:r>
    </w:p>
    <w:p w14:paraId="15D9CD08" w14:textId="2FB22379" w:rsidR="00FC420B" w:rsidRPr="00FC420B" w:rsidRDefault="00FC420B" w:rsidP="008121F4">
      <w:pPr>
        <w:numPr>
          <w:ilvl w:val="0"/>
          <w:numId w:val="5"/>
        </w:numPr>
        <w:jc w:val="both"/>
        <w:rPr>
          <w:b/>
        </w:rPr>
      </w:pPr>
      <w:r w:rsidRPr="00FC420B">
        <w:rPr>
          <w:b/>
        </w:rPr>
        <w:t>General</w:t>
      </w:r>
      <w:r>
        <w:rPr>
          <w:b/>
        </w:rPr>
        <w:t>.</w:t>
      </w:r>
      <w:r w:rsidRPr="00FC420B">
        <w:rPr>
          <w:b/>
        </w:rPr>
        <w:t xml:space="preserve"> </w:t>
      </w:r>
      <w:r w:rsidRPr="00FC420B">
        <w:t>On occasion medical students may receive healthcare treatment of a sensitive nature from a healthcare provider who also has a teaching and assessment role in the curriculum. It is the SOM’s responsibility to ensure that these individuals have no influence on the academic assessment or progress of the student they have treated.</w:t>
      </w:r>
    </w:p>
    <w:p w14:paraId="69EB7EA3" w14:textId="414DDB58" w:rsidR="00FC420B" w:rsidRPr="008121F4" w:rsidRDefault="00FC420B" w:rsidP="008121F4">
      <w:pPr>
        <w:numPr>
          <w:ilvl w:val="0"/>
          <w:numId w:val="5"/>
        </w:numPr>
        <w:jc w:val="both"/>
        <w:rPr>
          <w:b/>
        </w:rPr>
      </w:pPr>
      <w:r w:rsidRPr="008121F4">
        <w:rPr>
          <w:b/>
        </w:rPr>
        <w:t>Providers of Medical, Psychiatric, and Psychological Health Services.</w:t>
      </w:r>
    </w:p>
    <w:p w14:paraId="0C3FD386" w14:textId="1E099A03" w:rsidR="00FC420B" w:rsidRPr="008121F4" w:rsidRDefault="00FC420B" w:rsidP="008121F4">
      <w:pPr>
        <w:numPr>
          <w:ilvl w:val="1"/>
          <w:numId w:val="5"/>
        </w:numPr>
        <w:jc w:val="both"/>
      </w:pPr>
      <w:r w:rsidRPr="008121F4">
        <w:t>Health professionals who provide any psychiatric/psychological assessment or treatment for other sensitive health services to medical students, will have no involvement in the academic assessment or promotion of the medical student receiving those services</w:t>
      </w:r>
      <w:r w:rsidR="008121F4" w:rsidRPr="008121F4">
        <w:t>.</w:t>
      </w:r>
    </w:p>
    <w:p w14:paraId="7D194881" w14:textId="39E0AB46" w:rsidR="00FC420B" w:rsidRPr="00FC420B" w:rsidRDefault="00FC420B" w:rsidP="008121F4">
      <w:pPr>
        <w:numPr>
          <w:ilvl w:val="1"/>
          <w:numId w:val="5"/>
        </w:numPr>
        <w:jc w:val="both"/>
      </w:pPr>
      <w:r w:rsidRPr="008121F4">
        <w:t>If a student is assigned</w:t>
      </w:r>
      <w:r w:rsidRPr="00FC420B">
        <w:t xml:space="preserve"> to an educational environment where the supervising </w:t>
      </w:r>
      <w:r w:rsidR="00A65FA7">
        <w:t>health professional</w:t>
      </w:r>
      <w:r w:rsidRPr="00FC420B">
        <w:t xml:space="preserve"> has previously provided any form of mental health assessment or treatment, or other sensitive health care </w:t>
      </w:r>
      <w:r w:rsidR="00406E92">
        <w:t xml:space="preserve">service </w:t>
      </w:r>
      <w:r w:rsidRPr="00FC420B">
        <w:t xml:space="preserve">to the student, the </w:t>
      </w:r>
      <w:r w:rsidR="00A65FA7">
        <w:t>supervising health professional</w:t>
      </w:r>
      <w:r w:rsidRPr="00FC420B">
        <w:t xml:space="preserve"> must advise the course/clerkship director of a need to re-assign the student to a different evaluating supervisor. It is the responsibility of the course/clerkship directo</w:t>
      </w:r>
      <w:bookmarkStart w:id="0" w:name="_GoBack"/>
      <w:bookmarkEnd w:id="0"/>
      <w:r w:rsidRPr="00FC420B">
        <w:t xml:space="preserve">r to make sure that </w:t>
      </w:r>
      <w:r w:rsidR="00A65FA7">
        <w:t>teaching faculty and residents</w:t>
      </w:r>
      <w:r w:rsidR="00A65FA7" w:rsidRPr="00FC420B">
        <w:t xml:space="preserve"> </w:t>
      </w:r>
      <w:r w:rsidRPr="00FC420B">
        <w:t xml:space="preserve">are aware of this policy. </w:t>
      </w:r>
    </w:p>
    <w:p w14:paraId="59EFCF11" w14:textId="754FE947" w:rsidR="00FC420B" w:rsidRPr="00FC420B" w:rsidRDefault="00FC420B" w:rsidP="008121F4">
      <w:pPr>
        <w:numPr>
          <w:ilvl w:val="1"/>
          <w:numId w:val="5"/>
        </w:numPr>
        <w:jc w:val="both"/>
      </w:pPr>
      <w:r w:rsidRPr="00FC420B">
        <w:t xml:space="preserve">If a student should be assigned to an educational environment where the supervising </w:t>
      </w:r>
      <w:r w:rsidR="00A65FA7">
        <w:t>health professional</w:t>
      </w:r>
      <w:r w:rsidRPr="00FC420B">
        <w:t xml:space="preserve"> does not immediately recall having treated the student and/or has not initiated the steps in item b (above), the student should request and will be granted an alternative assignment. The student may go directly to the relevant curriculum director (i.e. Course Director, Clerkship Director) or to the Office of Student Affairs or Medical Education to have the educational assignment changed. </w:t>
      </w:r>
    </w:p>
    <w:p w14:paraId="552D85DF" w14:textId="15B52C3A" w:rsidR="00FC420B" w:rsidRPr="00FC420B" w:rsidRDefault="00FC420B" w:rsidP="008121F4">
      <w:pPr>
        <w:numPr>
          <w:ilvl w:val="1"/>
          <w:numId w:val="5"/>
        </w:numPr>
        <w:jc w:val="both"/>
      </w:pPr>
      <w:r w:rsidRPr="00FC420B">
        <w:t xml:space="preserve">A healthcare </w:t>
      </w:r>
      <w:r w:rsidR="00A65FA7">
        <w:t>professional</w:t>
      </w:r>
      <w:r w:rsidR="00A65FA7" w:rsidRPr="00FC420B">
        <w:t xml:space="preserve"> </w:t>
      </w:r>
      <w:r w:rsidRPr="00FC420B">
        <w:t xml:space="preserve">on the Student Promotions and Professional Conduct Committee or on any committee that evaluates students (voting or nonvoting members) must recuse him/herself from deliberations related to a student that he or she has provided </w:t>
      </w:r>
      <w:r w:rsidR="00A65FA7">
        <w:t xml:space="preserve">medical, psychiatric, or psychological </w:t>
      </w:r>
      <w:r w:rsidRPr="00FC420B">
        <w:t>health care services</w:t>
      </w:r>
      <w:r>
        <w:t>.</w:t>
      </w:r>
    </w:p>
    <w:p w14:paraId="7E4C98FD" w14:textId="55F761C8" w:rsidR="00FC420B" w:rsidRPr="00512C00" w:rsidRDefault="00FC420B" w:rsidP="008121F4">
      <w:pPr>
        <w:keepNext/>
        <w:jc w:val="both"/>
        <w:rPr>
          <w:b/>
          <w:highlight w:val="yellow"/>
        </w:rPr>
      </w:pPr>
    </w:p>
    <w:sectPr w:rsidR="00FC420B" w:rsidRPr="00512C00" w:rsidSect="0058141A">
      <w:headerReference w:type="default" r:id="rId10"/>
      <w:footerReference w:type="even" r:id="rId11"/>
      <w:footerReference w:type="default" r:id="rId12"/>
      <w:headerReference w:type="first" r:id="rId13"/>
      <w:footerReference w:type="first" r:id="rId14"/>
      <w:pgSz w:w="12240" w:h="15840" w:code="1"/>
      <w:pgMar w:top="1080" w:right="108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A319A" w14:textId="77777777" w:rsidR="00A226E4" w:rsidRDefault="00A226E4">
      <w:r>
        <w:separator/>
      </w:r>
    </w:p>
  </w:endnote>
  <w:endnote w:type="continuationSeparator" w:id="0">
    <w:p w14:paraId="2DECE98D" w14:textId="77777777" w:rsidR="00A226E4" w:rsidRDefault="00A2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17B4" w14:textId="77777777" w:rsidR="00A21283" w:rsidRDefault="00A21283" w:rsidP="00C15B77">
    <w:pPr>
      <w:pStyle w:val="Footer"/>
      <w:framePr w:wrap="around" w:vAnchor="text" w:hAnchor="margin" w:xAlign="center" w:y="1"/>
      <w:rPr>
        <w:rStyle w:val="PageNumber"/>
        <w:i w:val="0"/>
        <w:sz w:val="24"/>
      </w:rPr>
    </w:pPr>
    <w:r>
      <w:rPr>
        <w:rStyle w:val="PageNumber"/>
      </w:rPr>
      <w:fldChar w:fldCharType="begin"/>
    </w:r>
    <w:r>
      <w:rPr>
        <w:rStyle w:val="PageNumber"/>
      </w:rPr>
      <w:instrText xml:space="preserve">PAGE  </w:instrText>
    </w:r>
    <w:r>
      <w:rPr>
        <w:rStyle w:val="PageNumber"/>
      </w:rPr>
      <w:fldChar w:fldCharType="end"/>
    </w:r>
  </w:p>
  <w:p w14:paraId="448524A4" w14:textId="77777777" w:rsidR="00A21283" w:rsidRDefault="00A21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3EA7" w14:textId="77777777" w:rsidR="00FC420B" w:rsidRPr="00FC420B" w:rsidRDefault="00FC420B" w:rsidP="00FC420B">
    <w:pPr>
      <w:pStyle w:val="Footer"/>
      <w:tabs>
        <w:tab w:val="clear" w:pos="4320"/>
        <w:tab w:val="clear" w:pos="8640"/>
        <w:tab w:val="right" w:pos="9360"/>
      </w:tabs>
      <w:jc w:val="right"/>
      <w:rPr>
        <w:rStyle w:val="PageNumber"/>
        <w:i w:val="0"/>
        <w:szCs w:val="16"/>
      </w:rPr>
    </w:pPr>
    <w:r w:rsidRPr="00FC420B">
      <w:rPr>
        <w:rStyle w:val="PageNumber"/>
        <w:i w:val="0"/>
        <w:szCs w:val="16"/>
      </w:rPr>
      <w:t>SOM OP 30.08</w:t>
    </w:r>
  </w:p>
  <w:p w14:paraId="19BD6F34" w14:textId="77777777" w:rsidR="00FC420B" w:rsidRPr="00FC420B" w:rsidRDefault="00FC420B" w:rsidP="00FC420B">
    <w:pPr>
      <w:pStyle w:val="Footer"/>
      <w:tabs>
        <w:tab w:val="clear" w:pos="4320"/>
        <w:tab w:val="clear" w:pos="8640"/>
        <w:tab w:val="right" w:pos="9360"/>
      </w:tabs>
      <w:jc w:val="right"/>
      <w:rPr>
        <w:rStyle w:val="PageNumber"/>
        <w:i w:val="0"/>
        <w:szCs w:val="16"/>
      </w:rPr>
    </w:pPr>
    <w:r w:rsidRPr="00FC420B">
      <w:rPr>
        <w:rStyle w:val="PageNumber"/>
        <w:i w:val="0"/>
        <w:szCs w:val="16"/>
      </w:rPr>
      <w:t xml:space="preserve">Page </w:t>
    </w:r>
    <w:r w:rsidRPr="00FC420B">
      <w:rPr>
        <w:rStyle w:val="PageNumber"/>
        <w:i w:val="0"/>
        <w:szCs w:val="16"/>
      </w:rPr>
      <w:fldChar w:fldCharType="begin"/>
    </w:r>
    <w:r w:rsidRPr="00FC420B">
      <w:rPr>
        <w:rStyle w:val="PageNumber"/>
        <w:i w:val="0"/>
        <w:szCs w:val="16"/>
      </w:rPr>
      <w:instrText xml:space="preserve"> PAGE </w:instrText>
    </w:r>
    <w:r w:rsidRPr="00FC420B">
      <w:rPr>
        <w:rStyle w:val="PageNumber"/>
        <w:i w:val="0"/>
        <w:szCs w:val="16"/>
      </w:rPr>
      <w:fldChar w:fldCharType="separate"/>
    </w:r>
    <w:r w:rsidR="0016051E">
      <w:rPr>
        <w:rStyle w:val="PageNumber"/>
        <w:i w:val="0"/>
        <w:noProof/>
        <w:szCs w:val="16"/>
      </w:rPr>
      <w:t>2</w:t>
    </w:r>
    <w:r w:rsidRPr="00FC420B">
      <w:rPr>
        <w:rStyle w:val="PageNumber"/>
        <w:i w:val="0"/>
        <w:szCs w:val="16"/>
      </w:rPr>
      <w:fldChar w:fldCharType="end"/>
    </w:r>
  </w:p>
  <w:p w14:paraId="135FCBE6" w14:textId="77777777" w:rsidR="00FC420B" w:rsidRPr="00903DAD" w:rsidRDefault="00FC420B" w:rsidP="00FC420B">
    <w:pPr>
      <w:pStyle w:val="Footer"/>
      <w:tabs>
        <w:tab w:val="clear" w:pos="4320"/>
        <w:tab w:val="clear" w:pos="8640"/>
        <w:tab w:val="right" w:pos="9720"/>
      </w:tabs>
      <w:rPr>
        <w:i w:val="0"/>
      </w:rPr>
    </w:pPr>
    <w:r w:rsidRPr="00590417">
      <w:rPr>
        <w:rStyle w:val="PageNumber"/>
        <w:sz w:val="14"/>
        <w:szCs w:val="14"/>
      </w:rPr>
      <w:t>PRINTED VERSIONS OF THIS DOCUMENT ARE OBSOLETE</w:t>
    </w:r>
    <w:r>
      <w:rPr>
        <w:rStyle w:val="PageNumber"/>
        <w:i w:val="0"/>
      </w:rPr>
      <w:t xml:space="preserve"> </w:t>
    </w:r>
    <w:r>
      <w:rPr>
        <w:rStyle w:val="PageNumber"/>
        <w:i w:val="0"/>
      </w:rPr>
      <w:tab/>
      <w:t>June 2,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8A01" w14:textId="357EEFFD" w:rsidR="00A21283" w:rsidRPr="00FC420B" w:rsidRDefault="00A21283" w:rsidP="00834E98">
    <w:pPr>
      <w:pStyle w:val="Footer"/>
      <w:tabs>
        <w:tab w:val="clear" w:pos="4320"/>
        <w:tab w:val="clear" w:pos="8640"/>
        <w:tab w:val="right" w:pos="9360"/>
      </w:tabs>
      <w:jc w:val="right"/>
      <w:rPr>
        <w:rStyle w:val="PageNumber"/>
        <w:i w:val="0"/>
        <w:szCs w:val="16"/>
      </w:rPr>
    </w:pPr>
    <w:r w:rsidRPr="00FC420B">
      <w:rPr>
        <w:rStyle w:val="PageNumber"/>
        <w:i w:val="0"/>
        <w:szCs w:val="16"/>
      </w:rPr>
      <w:t xml:space="preserve">SOM OP </w:t>
    </w:r>
    <w:r w:rsidR="00FC420B" w:rsidRPr="00FC420B">
      <w:rPr>
        <w:rStyle w:val="PageNumber"/>
        <w:i w:val="0"/>
        <w:szCs w:val="16"/>
      </w:rPr>
      <w:t>30.08</w:t>
    </w:r>
  </w:p>
  <w:p w14:paraId="7938E102" w14:textId="7DB9FC9B" w:rsidR="008B02CD" w:rsidRPr="00903DAD" w:rsidRDefault="00590417" w:rsidP="00590417">
    <w:pPr>
      <w:pStyle w:val="Footer"/>
      <w:tabs>
        <w:tab w:val="clear" w:pos="4320"/>
        <w:tab w:val="clear" w:pos="8640"/>
        <w:tab w:val="right" w:pos="9720"/>
      </w:tabs>
      <w:rPr>
        <w:i w:val="0"/>
      </w:rPr>
    </w:pPr>
    <w:r w:rsidRPr="00590417">
      <w:rPr>
        <w:rStyle w:val="PageNumber"/>
        <w:sz w:val="14"/>
        <w:szCs w:val="14"/>
      </w:rPr>
      <w:t>PRINTED VERSIONS OF THIS DOCUMENT ARE OBSOLETE</w:t>
    </w:r>
    <w:r>
      <w:rPr>
        <w:rStyle w:val="PageNumber"/>
        <w:i w:val="0"/>
      </w:rPr>
      <w:t xml:space="preserve"> </w:t>
    </w:r>
    <w:r>
      <w:rPr>
        <w:rStyle w:val="PageNumber"/>
        <w:i w:val="0"/>
      </w:rPr>
      <w:tab/>
    </w:r>
    <w:r w:rsidR="008B02CD">
      <w:rPr>
        <w:rStyle w:val="PageNumber"/>
        <w:i w:val="0"/>
      </w:rPr>
      <w:t>SAC reviewed/approved: July 27,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96CD" w14:textId="77777777" w:rsidR="00A226E4" w:rsidRDefault="00A226E4">
      <w:r>
        <w:separator/>
      </w:r>
    </w:p>
  </w:footnote>
  <w:footnote w:type="continuationSeparator" w:id="0">
    <w:p w14:paraId="3206C61B" w14:textId="77777777" w:rsidR="00A226E4" w:rsidRDefault="00A2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8A57" w14:textId="77777777" w:rsidR="00A21283" w:rsidRPr="00D04E43" w:rsidRDefault="00A21283" w:rsidP="00D04E43">
    <w:pPr>
      <w:pStyle w:val="Header"/>
      <w:tabs>
        <w:tab w:val="clear" w:pos="4320"/>
        <w:tab w:val="clear" w:pos="8640"/>
        <w:tab w:val="left" w:pos="5782"/>
        <w:tab w:val="right" w:pos="9360"/>
      </w:tabs>
      <w:ind w:left="90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481C" w14:textId="77777777" w:rsidR="00A21283" w:rsidRDefault="00A21283" w:rsidP="00B16672">
    <w:pPr>
      <w:spacing w:after="0"/>
      <w:rPr>
        <w:b/>
        <w:sz w:val="28"/>
        <w:szCs w:val="28"/>
      </w:rPr>
    </w:pPr>
    <w:r>
      <w:rPr>
        <w:b/>
        <w:noProof/>
        <w:sz w:val="28"/>
        <w:szCs w:val="28"/>
      </w:rPr>
      <w:drawing>
        <wp:inline distT="0" distB="0" distL="0" distR="0" wp14:anchorId="70F9A38D" wp14:editId="34044492">
          <wp:extent cx="3089411" cy="683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Shield-Left-Prin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9411" cy="683514"/>
                  </a:xfrm>
                  <a:prstGeom prst="rect">
                    <a:avLst/>
                  </a:prstGeom>
                  <a:noFill/>
                  <a:ln>
                    <a:noFill/>
                  </a:ln>
                </pic:spPr>
              </pic:pic>
            </a:graphicData>
          </a:graphic>
        </wp:inline>
      </w:drawing>
    </w:r>
  </w:p>
  <w:p w14:paraId="091120FC" w14:textId="77777777" w:rsidR="00A21283" w:rsidRPr="00D04E43" w:rsidRDefault="00A21283" w:rsidP="0058141A">
    <w:pPr>
      <w:spacing w:after="480"/>
      <w:ind w:left="720"/>
      <w:rPr>
        <w:rFonts w:cs="Arial"/>
        <w:i/>
        <w:sz w:val="24"/>
      </w:rPr>
    </w:pPr>
    <w:r w:rsidRPr="00903DAD">
      <w:rPr>
        <w:rFonts w:cs="Arial"/>
        <w:i/>
        <w:sz w:val="24"/>
      </w:rPr>
      <w:t>Operating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08F49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F68260D6"/>
    <w:lvl w:ilvl="0">
      <w:start w:val="1"/>
      <w:numFmt w:val="decimal"/>
      <w:lvlText w:val="%1."/>
      <w:lvlJc w:val="left"/>
      <w:pPr>
        <w:tabs>
          <w:tab w:val="num" w:pos="720"/>
        </w:tabs>
        <w:ind w:left="720" w:hanging="360"/>
      </w:pPr>
    </w:lvl>
  </w:abstractNum>
  <w:abstractNum w:abstractNumId="2" w15:restartNumberingAfterBreak="0">
    <w:nsid w:val="092B5561"/>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1EA488B"/>
    <w:multiLevelType w:val="hybridMultilevel"/>
    <w:tmpl w:val="ABAC7E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733477"/>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395730"/>
    <w:multiLevelType w:val="multilevel"/>
    <w:tmpl w:val="565C5B62"/>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E83256"/>
    <w:multiLevelType w:val="multilevel"/>
    <w:tmpl w:val="2A3E1950"/>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360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CB414A6"/>
    <w:multiLevelType w:val="multilevel"/>
    <w:tmpl w:val="D5FCCA3A"/>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9333A7"/>
    <w:multiLevelType w:val="multilevel"/>
    <w:tmpl w:val="41AE22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3467CC1"/>
    <w:multiLevelType w:val="multilevel"/>
    <w:tmpl w:val="AC7EF7A0"/>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40339E9"/>
    <w:multiLevelType w:val="multilevel"/>
    <w:tmpl w:val="B3601ADC"/>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6D0227C"/>
    <w:multiLevelType w:val="hybridMultilevel"/>
    <w:tmpl w:val="D958939E"/>
    <w:lvl w:ilvl="0" w:tplc="406604E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42517F"/>
    <w:multiLevelType w:val="multilevel"/>
    <w:tmpl w:val="BFF0FD4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04210A6"/>
    <w:multiLevelType w:val="multilevel"/>
    <w:tmpl w:val="BDAAAE92"/>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B6C5B23"/>
    <w:multiLevelType w:val="hybridMultilevel"/>
    <w:tmpl w:val="52D0521C"/>
    <w:lvl w:ilvl="0" w:tplc="837EF3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7A1519"/>
    <w:multiLevelType w:val="hybridMultilevel"/>
    <w:tmpl w:val="B5C6121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3816793"/>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3"/>
  </w:num>
  <w:num w:numId="3">
    <w:abstractNumId w:val="15"/>
  </w:num>
  <w:num w:numId="4">
    <w:abstractNumId w:val="11"/>
  </w:num>
  <w:num w:numId="5">
    <w:abstractNumId w:val="5"/>
  </w:num>
  <w:num w:numId="6">
    <w:abstractNumId w:val="8"/>
  </w:num>
  <w:num w:numId="7">
    <w:abstractNumId w:val="13"/>
  </w:num>
  <w:num w:numId="8">
    <w:abstractNumId w:val="12"/>
  </w:num>
  <w:num w:numId="9">
    <w:abstractNumId w:val="10"/>
  </w:num>
  <w:num w:numId="10">
    <w:abstractNumId w:val="2"/>
  </w:num>
  <w:num w:numId="11">
    <w:abstractNumId w:val="16"/>
  </w:num>
  <w:num w:numId="12">
    <w:abstractNumId w:val="4"/>
  </w:num>
  <w:num w:numId="13">
    <w:abstractNumId w:val="9"/>
  </w:num>
  <w:num w:numId="14">
    <w:abstractNumId w:val="6"/>
  </w:num>
  <w:num w:numId="15">
    <w:abstractNumId w:val="7"/>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97"/>
    <w:rsid w:val="00005CA0"/>
    <w:rsid w:val="000073D6"/>
    <w:rsid w:val="00021401"/>
    <w:rsid w:val="0002667D"/>
    <w:rsid w:val="000A7AA1"/>
    <w:rsid w:val="000F5BC1"/>
    <w:rsid w:val="00137BAA"/>
    <w:rsid w:val="00137EF5"/>
    <w:rsid w:val="00150CCB"/>
    <w:rsid w:val="0016051E"/>
    <w:rsid w:val="00184AB9"/>
    <w:rsid w:val="00193DAD"/>
    <w:rsid w:val="001B1AA5"/>
    <w:rsid w:val="001B4694"/>
    <w:rsid w:val="001C22BA"/>
    <w:rsid w:val="001C2656"/>
    <w:rsid w:val="001C5D8E"/>
    <w:rsid w:val="001D076F"/>
    <w:rsid w:val="001D2ED5"/>
    <w:rsid w:val="001F0571"/>
    <w:rsid w:val="001F1D4C"/>
    <w:rsid w:val="001F6A25"/>
    <w:rsid w:val="0020319B"/>
    <w:rsid w:val="002111B5"/>
    <w:rsid w:val="00235442"/>
    <w:rsid w:val="002468BF"/>
    <w:rsid w:val="00286237"/>
    <w:rsid w:val="002B60CB"/>
    <w:rsid w:val="00311FF4"/>
    <w:rsid w:val="00324D30"/>
    <w:rsid w:val="0033594C"/>
    <w:rsid w:val="00337434"/>
    <w:rsid w:val="003533F3"/>
    <w:rsid w:val="00383309"/>
    <w:rsid w:val="003A672B"/>
    <w:rsid w:val="003C05C4"/>
    <w:rsid w:val="003C523C"/>
    <w:rsid w:val="003C5AA8"/>
    <w:rsid w:val="003D5D2F"/>
    <w:rsid w:val="003E23DA"/>
    <w:rsid w:val="00406E92"/>
    <w:rsid w:val="00462970"/>
    <w:rsid w:val="004909D1"/>
    <w:rsid w:val="004D56E4"/>
    <w:rsid w:val="00506126"/>
    <w:rsid w:val="00512C00"/>
    <w:rsid w:val="0051325E"/>
    <w:rsid w:val="00564C1F"/>
    <w:rsid w:val="0058141A"/>
    <w:rsid w:val="00590417"/>
    <w:rsid w:val="005D1C79"/>
    <w:rsid w:val="005D3038"/>
    <w:rsid w:val="005E4AE1"/>
    <w:rsid w:val="00607DB4"/>
    <w:rsid w:val="00645C57"/>
    <w:rsid w:val="00657671"/>
    <w:rsid w:val="00673B65"/>
    <w:rsid w:val="006758D3"/>
    <w:rsid w:val="006A1F7F"/>
    <w:rsid w:val="00704342"/>
    <w:rsid w:val="007050C6"/>
    <w:rsid w:val="0074347F"/>
    <w:rsid w:val="0075652A"/>
    <w:rsid w:val="00763D4D"/>
    <w:rsid w:val="00771B85"/>
    <w:rsid w:val="0077393E"/>
    <w:rsid w:val="00786FF3"/>
    <w:rsid w:val="0079193F"/>
    <w:rsid w:val="00792537"/>
    <w:rsid w:val="007954C3"/>
    <w:rsid w:val="007A432C"/>
    <w:rsid w:val="007A6939"/>
    <w:rsid w:val="007B44B5"/>
    <w:rsid w:val="007B7997"/>
    <w:rsid w:val="007C5F4E"/>
    <w:rsid w:val="007D5318"/>
    <w:rsid w:val="00803CA6"/>
    <w:rsid w:val="00811D32"/>
    <w:rsid w:val="008121F4"/>
    <w:rsid w:val="008276D9"/>
    <w:rsid w:val="00834E98"/>
    <w:rsid w:val="00845225"/>
    <w:rsid w:val="00855162"/>
    <w:rsid w:val="008562E3"/>
    <w:rsid w:val="008575EE"/>
    <w:rsid w:val="00861081"/>
    <w:rsid w:val="00866116"/>
    <w:rsid w:val="00890577"/>
    <w:rsid w:val="00891066"/>
    <w:rsid w:val="008A24B8"/>
    <w:rsid w:val="008B02CD"/>
    <w:rsid w:val="00903DAD"/>
    <w:rsid w:val="009151E7"/>
    <w:rsid w:val="00984CDC"/>
    <w:rsid w:val="00994FD8"/>
    <w:rsid w:val="009A42C1"/>
    <w:rsid w:val="009A7674"/>
    <w:rsid w:val="009C0DB4"/>
    <w:rsid w:val="009D53FE"/>
    <w:rsid w:val="009E7256"/>
    <w:rsid w:val="00A10271"/>
    <w:rsid w:val="00A13917"/>
    <w:rsid w:val="00A21283"/>
    <w:rsid w:val="00A226E4"/>
    <w:rsid w:val="00A26EF1"/>
    <w:rsid w:val="00A27C83"/>
    <w:rsid w:val="00A65FA7"/>
    <w:rsid w:val="00A86BD7"/>
    <w:rsid w:val="00AA74E3"/>
    <w:rsid w:val="00AD40DB"/>
    <w:rsid w:val="00B055C4"/>
    <w:rsid w:val="00B10ECA"/>
    <w:rsid w:val="00B16672"/>
    <w:rsid w:val="00B34104"/>
    <w:rsid w:val="00B50E1E"/>
    <w:rsid w:val="00B62FCD"/>
    <w:rsid w:val="00B75E68"/>
    <w:rsid w:val="00BB1C59"/>
    <w:rsid w:val="00BC3C7C"/>
    <w:rsid w:val="00C15B77"/>
    <w:rsid w:val="00C80E36"/>
    <w:rsid w:val="00C81D55"/>
    <w:rsid w:val="00C957E6"/>
    <w:rsid w:val="00D04E43"/>
    <w:rsid w:val="00D457E5"/>
    <w:rsid w:val="00D65291"/>
    <w:rsid w:val="00DA215D"/>
    <w:rsid w:val="00DC677C"/>
    <w:rsid w:val="00DC70D2"/>
    <w:rsid w:val="00DD3A7B"/>
    <w:rsid w:val="00DD47D7"/>
    <w:rsid w:val="00E271C8"/>
    <w:rsid w:val="00E4042C"/>
    <w:rsid w:val="00E5075D"/>
    <w:rsid w:val="00E5464B"/>
    <w:rsid w:val="00E75D83"/>
    <w:rsid w:val="00EF2A81"/>
    <w:rsid w:val="00F105AA"/>
    <w:rsid w:val="00F20EB9"/>
    <w:rsid w:val="00F235E9"/>
    <w:rsid w:val="00F411AB"/>
    <w:rsid w:val="00F44BF2"/>
    <w:rsid w:val="00F7204A"/>
    <w:rsid w:val="00FA30C1"/>
    <w:rsid w:val="00FA47E9"/>
    <w:rsid w:val="00FB4CAC"/>
    <w:rsid w:val="00FC2A73"/>
    <w:rsid w:val="00FC420B"/>
    <w:rsid w:val="00FE0DBA"/>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B962C"/>
  <w15:docId w15:val="{A75D97F3-1AB8-4AD1-9EE2-EA570D11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A1"/>
    <w:pPr>
      <w:spacing w:after="20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DAD"/>
    <w:pPr>
      <w:tabs>
        <w:tab w:val="center" w:pos="4320"/>
        <w:tab w:val="right" w:pos="8640"/>
      </w:tabs>
      <w:spacing w:after="0"/>
    </w:pPr>
    <w:rPr>
      <w:i/>
      <w:sz w:val="16"/>
    </w:rPr>
  </w:style>
  <w:style w:type="character" w:styleId="PageNumber">
    <w:name w:val="page number"/>
    <w:basedOn w:val="DefaultParagraphFont"/>
    <w:rsid w:val="00137EF5"/>
  </w:style>
  <w:style w:type="paragraph" w:styleId="Header">
    <w:name w:val="header"/>
    <w:basedOn w:val="Normal"/>
    <w:rsid w:val="00FE0DBA"/>
    <w:pPr>
      <w:tabs>
        <w:tab w:val="center" w:pos="4320"/>
        <w:tab w:val="right" w:pos="8640"/>
      </w:tabs>
    </w:pPr>
  </w:style>
  <w:style w:type="paragraph" w:styleId="DocumentMap">
    <w:name w:val="Document Map"/>
    <w:basedOn w:val="Normal"/>
    <w:semiHidden/>
    <w:rsid w:val="00311FF4"/>
    <w:pPr>
      <w:shd w:val="clear" w:color="auto" w:fill="000080"/>
    </w:pPr>
    <w:rPr>
      <w:rFonts w:ascii="Tahoma" w:hAnsi="Tahoma" w:cs="Tahoma"/>
      <w:szCs w:val="20"/>
    </w:rPr>
  </w:style>
  <w:style w:type="character" w:styleId="Emphasis">
    <w:name w:val="Emphasis"/>
    <w:basedOn w:val="DefaultParagraphFont"/>
    <w:qFormat/>
    <w:rsid w:val="00506126"/>
    <w:rPr>
      <w:i/>
      <w:iCs/>
    </w:rPr>
  </w:style>
  <w:style w:type="character" w:styleId="FollowedHyperlink">
    <w:name w:val="FollowedHyperlink"/>
    <w:basedOn w:val="DefaultParagraphFont"/>
    <w:rsid w:val="00235442"/>
    <w:rPr>
      <w:color w:val="800080"/>
      <w:u w:val="single"/>
    </w:rPr>
  </w:style>
  <w:style w:type="paragraph" w:styleId="BalloonText">
    <w:name w:val="Balloon Text"/>
    <w:basedOn w:val="Normal"/>
    <w:link w:val="BalloonTextChar"/>
    <w:rsid w:val="00994F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94FD8"/>
    <w:rPr>
      <w:rFonts w:ascii="Lucida Grande" w:hAnsi="Lucida Grande" w:cs="Lucida Grande"/>
      <w:sz w:val="18"/>
      <w:szCs w:val="18"/>
    </w:rPr>
  </w:style>
  <w:style w:type="paragraph" w:styleId="ListParagraph">
    <w:name w:val="List Paragraph"/>
    <w:basedOn w:val="Normal"/>
    <w:uiPriority w:val="34"/>
    <w:qFormat/>
    <w:rsid w:val="00FC420B"/>
    <w:pPr>
      <w:spacing w:after="0"/>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C87070A0AE4BA6805DB0FDA6D83B" ma:contentTypeVersion="2" ma:contentTypeDescription="Create a new document." ma:contentTypeScope="" ma:versionID="03ead69ef11a411b9c7043592a885161">
  <xsd:schema xmlns:xsd="http://www.w3.org/2001/XMLSchema" xmlns:xs="http://www.w3.org/2001/XMLSchema" xmlns:p="http://schemas.microsoft.com/office/2006/metadata/properties" xmlns:ns2="bdf838b3-4fdb-4756-857f-5d8ef13beb1a" targetNamespace="http://schemas.microsoft.com/office/2006/metadata/properties" ma:root="true" ma:fieldsID="a234261bb08ffc3cb67af34d2a964b79" ns2:_="">
    <xsd:import namespace="bdf838b3-4fdb-4756-857f-5d8ef13beb1a"/>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38b3-4fdb-4756-857f-5d8ef13beb1a"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bdf838b3-4fdb-4756-857f-5d8ef13beb1a" xsi:nil="true"/>
  </documentManagement>
</p:properties>
</file>

<file path=customXml/itemProps1.xml><?xml version="1.0" encoding="utf-8"?>
<ds:datastoreItem xmlns:ds="http://schemas.openxmlformats.org/officeDocument/2006/customXml" ds:itemID="{0E4500B8-3D2D-4110-A768-4D709082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38b3-4fdb-4756-857f-5d8ef13be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8F3B-D0A6-4777-8248-9D3FEFC2DB81}">
  <ds:schemaRefs>
    <ds:schemaRef ds:uri="http://schemas.microsoft.com/sharepoint/v3/contenttype/forms"/>
  </ds:schemaRefs>
</ds:datastoreItem>
</file>

<file path=customXml/itemProps3.xml><?xml version="1.0" encoding="utf-8"?>
<ds:datastoreItem xmlns:ds="http://schemas.openxmlformats.org/officeDocument/2006/customXml" ds:itemID="{3122BF5F-F6BA-49A8-B163-FFB6B0D4C929}">
  <ds:schemaRefs>
    <ds:schemaRef ds:uri="http://schemas.microsoft.com/office/2006/metadata/properties"/>
    <ds:schemaRef ds:uri="bdf838b3-4fdb-4756-857f-5d8ef13beb1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Non-Involvement of Providers of Student Health Services in Student Assessment - 6/02/2016</vt:lpstr>
    </vt:vector>
  </TitlesOfParts>
  <Company>Texas Tech University Health Sciences Center</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Non-Involvement of Providers of Student Health Services in Student Assessment - 6/02/2016</dc:title>
  <dc:subject/>
  <dc:creator>TTUHSC</dc:creator>
  <cp:keywords/>
  <dc:description/>
  <cp:lastModifiedBy>Cobbs, Lauren</cp:lastModifiedBy>
  <cp:revision>4</cp:revision>
  <cp:lastPrinted>2008-05-14T20:05:00Z</cp:lastPrinted>
  <dcterms:created xsi:type="dcterms:W3CDTF">2023-08-24T18:42:00Z</dcterms:created>
  <dcterms:modified xsi:type="dcterms:W3CDTF">2023-08-24T18:46:00Z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0x010100B650C87070A0AE4BA6805DB0FDA6D83B</vt:lpwstr>
  </property>
  <property fmtid="{D5CDD505-2E9C-101B-9397-08002B2CF9AE}" pid="3" name="Order">
    <vt:r8>100</vt:r8>
  </property>
  <property fmtid="{D5CDD505-2E9C-101B-9397-08002B2CF9AE}" pid="4" name="xd_ProgID">
    <vt:lpwstr/>
  </property>
  <property fmtid="{D5CDD505-2E9C-101B-9397-08002B2CF9AE}" pid="5" name="TemplateUrl">
    <vt:lpwstr/>
  </property>
</Properties>
</file>